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42" w:rsidRPr="00EF7164" w:rsidRDefault="00F61A09" w:rsidP="004C3742">
      <w:pPr>
        <w:spacing w:after="0"/>
        <w:jc w:val="right"/>
        <w:rPr>
          <w:rFonts w:ascii="Times New Roman" w:eastAsiaTheme="majorEastAsia" w:hAnsi="Times New Roman" w:cs="Times New Roman"/>
          <w:bCs/>
          <w:kern w:val="1"/>
          <w:sz w:val="24"/>
          <w:szCs w:val="24"/>
          <w:lang w:eastAsia="hi-IN" w:bidi="hi-IN"/>
        </w:rPr>
      </w:pPr>
      <w:bookmarkStart w:id="0" w:name="_Toc343865315"/>
      <w:bookmarkStart w:id="1" w:name="313140"/>
      <w:r>
        <w:rPr>
          <w:rFonts w:ascii="Times New Roman" w:eastAsiaTheme="majorEastAsia" w:hAnsi="Times New Roman" w:cs="Times New Roman"/>
          <w:bCs/>
          <w:kern w:val="1"/>
          <w:sz w:val="24"/>
          <w:szCs w:val="24"/>
          <w:lang w:eastAsia="hi-IN" w:bidi="hi-IN"/>
        </w:rPr>
        <w:t xml:space="preserve">2. </w:t>
      </w:r>
      <w:r w:rsidR="004C3742" w:rsidRPr="00EF7164">
        <w:rPr>
          <w:rFonts w:ascii="Times New Roman" w:eastAsiaTheme="majorEastAsia" w:hAnsi="Times New Roman" w:cs="Times New Roman"/>
          <w:bCs/>
          <w:kern w:val="1"/>
          <w:sz w:val="24"/>
          <w:szCs w:val="24"/>
          <w:lang w:eastAsia="hi-IN" w:bidi="hi-IN"/>
        </w:rPr>
        <w:t>pielikums</w:t>
      </w:r>
      <w:bookmarkEnd w:id="0"/>
    </w:p>
    <w:p w:rsidR="00DA5A8B" w:rsidRDefault="00DA5A8B" w:rsidP="004C3742">
      <w:pPr>
        <w:spacing w:after="0"/>
        <w:jc w:val="right"/>
        <w:rPr>
          <w:rFonts w:ascii="Times New Roman" w:hAnsi="Times New Roman" w:cs="Times New Roman"/>
          <w:sz w:val="24"/>
          <w:szCs w:val="24"/>
        </w:rPr>
      </w:pPr>
      <w:r w:rsidRPr="00DA5A8B">
        <w:rPr>
          <w:rFonts w:ascii="Times New Roman" w:hAnsi="Times New Roman" w:cs="Times New Roman"/>
          <w:sz w:val="24"/>
          <w:szCs w:val="24"/>
        </w:rPr>
        <w:t xml:space="preserve">„Latvijas augstākās izglītības ārējās kvalitātes </w:t>
      </w:r>
    </w:p>
    <w:p w:rsidR="004C3742" w:rsidRPr="00EF7164" w:rsidRDefault="00DA5A8B" w:rsidP="004C3742">
      <w:pPr>
        <w:spacing w:after="0"/>
        <w:jc w:val="right"/>
        <w:rPr>
          <w:rFonts w:ascii="Times New Roman" w:eastAsiaTheme="majorEastAsia" w:hAnsi="Times New Roman" w:cs="Times New Roman"/>
          <w:bCs/>
          <w:kern w:val="1"/>
          <w:sz w:val="24"/>
          <w:szCs w:val="24"/>
          <w:lang w:eastAsia="hi-IN" w:bidi="hi-IN"/>
        </w:rPr>
      </w:pPr>
      <w:r w:rsidRPr="00DA5A8B">
        <w:rPr>
          <w:rFonts w:ascii="Times New Roman" w:hAnsi="Times New Roman" w:cs="Times New Roman"/>
          <w:sz w:val="24"/>
          <w:szCs w:val="24"/>
        </w:rPr>
        <w:t xml:space="preserve">nodrošināšanas sistēmas pilnveide” </w:t>
      </w:r>
      <w:r w:rsidR="004C3742" w:rsidRPr="00EF7164">
        <w:rPr>
          <w:rFonts w:ascii="Times New Roman" w:eastAsiaTheme="majorEastAsia" w:hAnsi="Times New Roman" w:cs="Times New Roman"/>
          <w:bCs/>
          <w:kern w:val="1"/>
          <w:sz w:val="24"/>
          <w:szCs w:val="24"/>
          <w:lang w:eastAsia="hi-IN" w:bidi="hi-IN"/>
        </w:rPr>
        <w:t xml:space="preserve">koncepcijai </w:t>
      </w:r>
    </w:p>
    <w:p w:rsidR="00080260" w:rsidRDefault="004C3742" w:rsidP="00080260">
      <w:pPr>
        <w:spacing w:before="100" w:beforeAutospacing="1" w:after="100" w:afterAutospacing="1" w:line="240" w:lineRule="auto"/>
        <w:jc w:val="center"/>
        <w:rPr>
          <w:rFonts w:ascii="Times New Roman" w:hAnsi="Times New Roman" w:cs="Times New Roman"/>
          <w:b/>
          <w:sz w:val="24"/>
          <w:szCs w:val="24"/>
        </w:rPr>
      </w:pPr>
      <w:r w:rsidRPr="00EF7164">
        <w:rPr>
          <w:rFonts w:ascii="Times New Roman" w:hAnsi="Times New Roman" w:cs="Times New Roman"/>
          <w:b/>
          <w:sz w:val="24"/>
          <w:szCs w:val="24"/>
        </w:rPr>
        <w:t>Politikas plānošanas dokumenta iet</w:t>
      </w:r>
      <w:r w:rsidR="00DA5A8B">
        <w:rPr>
          <w:rFonts w:ascii="Times New Roman" w:hAnsi="Times New Roman" w:cs="Times New Roman"/>
          <w:b/>
          <w:sz w:val="24"/>
          <w:szCs w:val="24"/>
        </w:rPr>
        <w:t>ekme uz valsts budžeta dotāciju</w:t>
      </w:r>
      <w:r w:rsidRPr="00EF7164">
        <w:rPr>
          <w:rFonts w:ascii="Times New Roman" w:hAnsi="Times New Roman" w:cs="Times New Roman"/>
          <w:b/>
          <w:sz w:val="24"/>
          <w:szCs w:val="24"/>
        </w:rPr>
        <w:t xml:space="preserve"> </w:t>
      </w:r>
      <w:r w:rsidR="00DA5A8B">
        <w:rPr>
          <w:rFonts w:ascii="Times New Roman" w:hAnsi="Times New Roman" w:cs="Times New Roman"/>
          <w:b/>
          <w:sz w:val="24"/>
          <w:szCs w:val="24"/>
        </w:rPr>
        <w:t xml:space="preserve">Izglītības un zinātnes </w:t>
      </w:r>
      <w:r>
        <w:rPr>
          <w:rFonts w:ascii="Times New Roman" w:hAnsi="Times New Roman" w:cs="Times New Roman"/>
          <w:b/>
          <w:sz w:val="24"/>
          <w:szCs w:val="24"/>
        </w:rPr>
        <w:t>ministrijā</w:t>
      </w:r>
      <w:r w:rsidRPr="00EF7164">
        <w:rPr>
          <w:rFonts w:ascii="Times New Roman" w:hAnsi="Times New Roman" w:cs="Times New Roman"/>
          <w:b/>
          <w:sz w:val="24"/>
          <w:szCs w:val="24"/>
        </w:rPr>
        <w:t xml:space="preserve"> </w:t>
      </w:r>
    </w:p>
    <w:p w:rsidR="005712BA" w:rsidRPr="005712BA" w:rsidRDefault="005712BA" w:rsidP="005712BA">
      <w:pPr>
        <w:spacing w:before="100" w:beforeAutospacing="1" w:after="100" w:afterAutospacing="1" w:line="240" w:lineRule="auto"/>
        <w:ind w:firstLine="720"/>
        <w:jc w:val="both"/>
        <w:rPr>
          <w:rFonts w:ascii="Times New Roman" w:hAnsi="Times New Roman" w:cs="Times New Roman"/>
          <w:b/>
          <w:sz w:val="24"/>
          <w:szCs w:val="24"/>
        </w:rPr>
      </w:pPr>
      <w:r w:rsidRPr="005712BA">
        <w:rPr>
          <w:rFonts w:ascii="Times New Roman" w:hAnsi="Times New Roman" w:cs="Times New Roman"/>
          <w:sz w:val="24"/>
          <w:szCs w:val="24"/>
        </w:rPr>
        <w:t>Jebkura varianta īstenošanas rezultātā ietekme uz valsts vai pašvaldības budžetu ir identiska, jo visos gadījumos ir no jauna jāveido atsevišķa struktūrvienība ar visu tās cilvēku un materiāltehnisko resursu nodrošinājumu.</w:t>
      </w:r>
      <w:bookmarkStart w:id="2" w:name="_GoBack"/>
      <w:bookmarkEnd w:id="2"/>
    </w:p>
    <w:tbl>
      <w:tblPr>
        <w:tblpPr w:leftFromText="180" w:rightFromText="180" w:vertAnchor="text" w:tblpXSpec="right" w:tblpY="1"/>
        <w:tblOverlap w:val="never"/>
        <w:tblW w:w="5587" w:type="pct"/>
        <w:tblBorders>
          <w:top w:val="single" w:sz="6" w:space="0" w:color="000000"/>
          <w:left w:val="single" w:sz="6" w:space="0" w:color="000000"/>
          <w:bottom w:val="single" w:sz="6" w:space="0" w:color="000000"/>
          <w:right w:val="single" w:sz="6" w:space="0" w:color="000000"/>
        </w:tblBorders>
        <w:tblLayout w:type="fixed"/>
        <w:tblCellMar>
          <w:top w:w="15" w:type="dxa"/>
          <w:left w:w="57" w:type="dxa"/>
          <w:bottom w:w="15" w:type="dxa"/>
          <w:right w:w="57" w:type="dxa"/>
        </w:tblCellMar>
        <w:tblLook w:val="04A0" w:firstRow="1" w:lastRow="0" w:firstColumn="1" w:lastColumn="0" w:noHBand="0" w:noVBand="1"/>
      </w:tblPr>
      <w:tblGrid>
        <w:gridCol w:w="3679"/>
        <w:gridCol w:w="790"/>
        <w:gridCol w:w="794"/>
        <w:gridCol w:w="3485"/>
        <w:gridCol w:w="1515"/>
      </w:tblGrid>
      <w:tr w:rsidR="0049272D" w:rsidRPr="00787801" w:rsidTr="00787801">
        <w:trPr>
          <w:trHeight w:val="450"/>
        </w:trPr>
        <w:tc>
          <w:tcPr>
            <w:tcW w:w="1792" w:type="pct"/>
            <w:vMerge w:val="restart"/>
            <w:tcBorders>
              <w:top w:val="single" w:sz="6" w:space="0" w:color="000000"/>
              <w:left w:val="single" w:sz="6" w:space="0" w:color="000000"/>
              <w:bottom w:val="single" w:sz="6" w:space="0" w:color="000000"/>
              <w:right w:val="single" w:sz="6" w:space="0" w:color="000000"/>
            </w:tcBorders>
            <w:shd w:val="pct15" w:color="auto" w:fill="auto"/>
            <w:vAlign w:val="center"/>
            <w:hideMark/>
          </w:tcPr>
          <w:bookmarkEnd w:id="1"/>
          <w:p w:rsidR="0049272D" w:rsidRPr="005058FE" w:rsidRDefault="0049272D" w:rsidP="00B03E79">
            <w:pPr>
              <w:spacing w:after="0" w:line="240" w:lineRule="auto"/>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p>
        </w:tc>
        <w:tc>
          <w:tcPr>
            <w:tcW w:w="3208" w:type="pct"/>
            <w:gridSpan w:val="4"/>
            <w:tcBorders>
              <w:top w:val="single" w:sz="6" w:space="0" w:color="000000"/>
              <w:left w:val="single" w:sz="6" w:space="0" w:color="000000"/>
              <w:bottom w:val="single" w:sz="6" w:space="0" w:color="000000"/>
              <w:right w:val="single" w:sz="6" w:space="0" w:color="000000"/>
            </w:tcBorders>
            <w:shd w:val="pct15" w:color="auto" w:fill="auto"/>
            <w:vAlign w:val="center"/>
            <w:hideMark/>
          </w:tcPr>
          <w:p w:rsidR="0049272D" w:rsidRPr="00787801" w:rsidRDefault="0049272D" w:rsidP="00B03E79">
            <w:pPr>
              <w:spacing w:before="100" w:beforeAutospacing="1" w:after="100" w:afterAutospacing="1" w:line="240" w:lineRule="auto"/>
              <w:jc w:val="center"/>
              <w:rPr>
                <w:rFonts w:ascii="Times New Roman" w:eastAsia="Times New Roman" w:hAnsi="Times New Roman" w:cs="Times New Roman"/>
                <w:b/>
                <w:sz w:val="24"/>
                <w:szCs w:val="24"/>
              </w:rPr>
            </w:pPr>
            <w:r w:rsidRPr="00787801">
              <w:rPr>
                <w:rFonts w:ascii="Times New Roman" w:eastAsia="Times New Roman" w:hAnsi="Times New Roman" w:cs="Times New Roman"/>
                <w:b/>
                <w:sz w:val="24"/>
                <w:szCs w:val="24"/>
              </w:rPr>
              <w:t>Turpmākie trīs gadi (</w:t>
            </w:r>
            <w:proofErr w:type="spellStart"/>
            <w:r w:rsidR="00FF33B8" w:rsidRPr="00787801">
              <w:rPr>
                <w:rFonts w:ascii="Times New Roman" w:eastAsia="Times New Roman" w:hAnsi="Times New Roman" w:cs="Times New Roman"/>
                <w:b/>
                <w:sz w:val="24"/>
                <w:szCs w:val="24"/>
              </w:rPr>
              <w:t>Euro</w:t>
            </w:r>
            <w:proofErr w:type="spellEnd"/>
            <w:r w:rsidRPr="00787801">
              <w:rPr>
                <w:rFonts w:ascii="Times New Roman" w:eastAsia="Times New Roman" w:hAnsi="Times New Roman" w:cs="Times New Roman"/>
                <w:b/>
                <w:sz w:val="24"/>
                <w:szCs w:val="24"/>
              </w:rPr>
              <w:t>)</w:t>
            </w:r>
          </w:p>
        </w:tc>
      </w:tr>
      <w:tr w:rsidR="00F75B51" w:rsidRPr="005058FE" w:rsidTr="00787801">
        <w:trPr>
          <w:trHeight w:val="450"/>
        </w:trPr>
        <w:tc>
          <w:tcPr>
            <w:tcW w:w="1792" w:type="pct"/>
            <w:vMerge/>
            <w:tcBorders>
              <w:top w:val="single" w:sz="6" w:space="0" w:color="000000"/>
              <w:left w:val="single" w:sz="6" w:space="0" w:color="000000"/>
              <w:bottom w:val="single" w:sz="6" w:space="0" w:color="000000"/>
              <w:right w:val="single" w:sz="6" w:space="0" w:color="000000"/>
            </w:tcBorders>
            <w:shd w:val="pct15" w:color="auto" w:fill="auto"/>
            <w:vAlign w:val="center"/>
            <w:hideMark/>
          </w:tcPr>
          <w:p w:rsidR="0049272D" w:rsidRPr="005058FE" w:rsidRDefault="0049272D" w:rsidP="00B03E79">
            <w:pPr>
              <w:spacing w:after="0" w:line="240" w:lineRule="auto"/>
              <w:rPr>
                <w:rFonts w:ascii="Times New Roman" w:eastAsia="Times New Roman" w:hAnsi="Times New Roman" w:cs="Times New Roman"/>
                <w:sz w:val="24"/>
                <w:szCs w:val="24"/>
              </w:rPr>
            </w:pPr>
          </w:p>
        </w:tc>
        <w:tc>
          <w:tcPr>
            <w:tcW w:w="772" w:type="pct"/>
            <w:gridSpan w:val="2"/>
            <w:tcBorders>
              <w:top w:val="single" w:sz="6" w:space="0" w:color="000000"/>
              <w:left w:val="single" w:sz="6" w:space="0" w:color="000000"/>
              <w:bottom w:val="single" w:sz="6" w:space="0" w:color="000000"/>
              <w:right w:val="single" w:sz="6" w:space="0" w:color="000000"/>
            </w:tcBorders>
            <w:shd w:val="pct15" w:color="auto" w:fill="auto"/>
            <w:vAlign w:val="center"/>
            <w:hideMark/>
          </w:tcPr>
          <w:p w:rsidR="0049272D" w:rsidRPr="005058FE" w:rsidRDefault="0049272D" w:rsidP="00B03E79">
            <w:pPr>
              <w:spacing w:before="100" w:beforeAutospacing="1" w:after="100" w:afterAutospacing="1" w:line="240" w:lineRule="auto"/>
              <w:jc w:val="center"/>
              <w:rPr>
                <w:rFonts w:ascii="Times New Roman" w:eastAsia="Times New Roman" w:hAnsi="Times New Roman" w:cs="Times New Roman"/>
                <w:sz w:val="24"/>
                <w:szCs w:val="24"/>
              </w:rPr>
            </w:pPr>
            <w:r w:rsidRPr="00D13E7A">
              <w:rPr>
                <w:rFonts w:ascii="Times New Roman" w:eastAsia="Times New Roman" w:hAnsi="Times New Roman" w:cs="Times New Roman"/>
                <w:sz w:val="24"/>
                <w:szCs w:val="24"/>
              </w:rPr>
              <w:t>201</w:t>
            </w:r>
            <w:r w:rsidR="00413936">
              <w:rPr>
                <w:rFonts w:ascii="Times New Roman" w:eastAsia="Times New Roman" w:hAnsi="Times New Roman" w:cs="Times New Roman"/>
                <w:sz w:val="24"/>
                <w:szCs w:val="24"/>
              </w:rPr>
              <w:t>5</w:t>
            </w:r>
            <w:r w:rsidRPr="00D13E7A">
              <w:rPr>
                <w:rFonts w:ascii="Times New Roman" w:eastAsia="Times New Roman" w:hAnsi="Times New Roman" w:cs="Times New Roman"/>
                <w:sz w:val="24"/>
                <w:szCs w:val="24"/>
              </w:rPr>
              <w:t>.g.</w:t>
            </w:r>
          </w:p>
        </w:tc>
        <w:tc>
          <w:tcPr>
            <w:tcW w:w="1698" w:type="pct"/>
            <w:tcBorders>
              <w:top w:val="single" w:sz="6" w:space="0" w:color="000000"/>
              <w:left w:val="single" w:sz="6" w:space="0" w:color="000000"/>
              <w:bottom w:val="single" w:sz="6" w:space="0" w:color="000000"/>
              <w:right w:val="single" w:sz="6" w:space="0" w:color="000000"/>
            </w:tcBorders>
            <w:shd w:val="pct15" w:color="auto" w:fill="auto"/>
            <w:vAlign w:val="center"/>
            <w:hideMark/>
          </w:tcPr>
          <w:p w:rsidR="0049272D" w:rsidRPr="005058FE" w:rsidRDefault="0049272D" w:rsidP="00B03E79">
            <w:pPr>
              <w:spacing w:before="100" w:beforeAutospacing="1" w:after="100" w:afterAutospacing="1" w:line="240" w:lineRule="auto"/>
              <w:jc w:val="center"/>
              <w:rPr>
                <w:rFonts w:ascii="Times New Roman" w:eastAsia="Times New Roman" w:hAnsi="Times New Roman" w:cs="Times New Roman"/>
                <w:sz w:val="24"/>
                <w:szCs w:val="24"/>
              </w:rPr>
            </w:pPr>
            <w:r w:rsidRPr="00D13E7A">
              <w:rPr>
                <w:rFonts w:ascii="Times New Roman" w:eastAsia="Times New Roman" w:hAnsi="Times New Roman" w:cs="Times New Roman"/>
                <w:sz w:val="24"/>
                <w:szCs w:val="24"/>
              </w:rPr>
              <w:t>201</w:t>
            </w:r>
            <w:r w:rsidR="00413936">
              <w:rPr>
                <w:rFonts w:ascii="Times New Roman" w:eastAsia="Times New Roman" w:hAnsi="Times New Roman" w:cs="Times New Roman"/>
                <w:sz w:val="24"/>
                <w:szCs w:val="24"/>
              </w:rPr>
              <w:t>6</w:t>
            </w:r>
            <w:r w:rsidRPr="00D13E7A">
              <w:rPr>
                <w:rFonts w:ascii="Times New Roman" w:eastAsia="Times New Roman" w:hAnsi="Times New Roman" w:cs="Times New Roman"/>
                <w:sz w:val="24"/>
                <w:szCs w:val="24"/>
              </w:rPr>
              <w:t>.g.</w:t>
            </w:r>
          </w:p>
        </w:tc>
        <w:tc>
          <w:tcPr>
            <w:tcW w:w="739" w:type="pct"/>
            <w:tcBorders>
              <w:top w:val="single" w:sz="6" w:space="0" w:color="000000"/>
              <w:left w:val="single" w:sz="6" w:space="0" w:color="000000"/>
              <w:bottom w:val="single" w:sz="6" w:space="0" w:color="000000"/>
              <w:right w:val="single" w:sz="6" w:space="0" w:color="000000"/>
            </w:tcBorders>
            <w:shd w:val="pct15" w:color="auto" w:fill="auto"/>
            <w:vAlign w:val="center"/>
            <w:hideMark/>
          </w:tcPr>
          <w:p w:rsidR="0049272D" w:rsidRPr="005058FE" w:rsidRDefault="0049272D" w:rsidP="00B03E79">
            <w:pPr>
              <w:spacing w:before="100" w:beforeAutospacing="1" w:after="100" w:afterAutospacing="1" w:line="240" w:lineRule="auto"/>
              <w:jc w:val="center"/>
              <w:rPr>
                <w:rFonts w:ascii="Times New Roman" w:eastAsia="Times New Roman" w:hAnsi="Times New Roman" w:cs="Times New Roman"/>
                <w:sz w:val="24"/>
                <w:szCs w:val="24"/>
              </w:rPr>
            </w:pPr>
            <w:r w:rsidRPr="00D13E7A">
              <w:rPr>
                <w:rFonts w:ascii="Times New Roman" w:eastAsia="Times New Roman" w:hAnsi="Times New Roman" w:cs="Times New Roman"/>
                <w:sz w:val="24"/>
                <w:szCs w:val="24"/>
              </w:rPr>
              <w:t>201</w:t>
            </w:r>
            <w:r w:rsidR="00413936">
              <w:rPr>
                <w:rFonts w:ascii="Times New Roman" w:eastAsia="Times New Roman" w:hAnsi="Times New Roman" w:cs="Times New Roman"/>
                <w:sz w:val="24"/>
                <w:szCs w:val="24"/>
              </w:rPr>
              <w:t>7</w:t>
            </w:r>
            <w:r w:rsidRPr="00D13E7A">
              <w:rPr>
                <w:rFonts w:ascii="Times New Roman" w:eastAsia="Times New Roman" w:hAnsi="Times New Roman" w:cs="Times New Roman"/>
                <w:sz w:val="24"/>
                <w:szCs w:val="24"/>
              </w:rPr>
              <w:t>.g.</w:t>
            </w:r>
          </w:p>
        </w:tc>
      </w:tr>
      <w:tr w:rsidR="00F75B51" w:rsidRPr="00AD74EA" w:rsidTr="00787801">
        <w:trPr>
          <w:trHeight w:val="255"/>
        </w:trPr>
        <w:tc>
          <w:tcPr>
            <w:tcW w:w="1792" w:type="pct"/>
            <w:tcBorders>
              <w:top w:val="single" w:sz="6" w:space="0" w:color="000000"/>
              <w:left w:val="single" w:sz="6" w:space="0" w:color="000000"/>
              <w:bottom w:val="single" w:sz="6" w:space="0" w:color="000000"/>
              <w:right w:val="single" w:sz="6" w:space="0" w:color="000000"/>
            </w:tcBorders>
            <w:hideMark/>
          </w:tcPr>
          <w:p w:rsidR="0049272D" w:rsidRPr="005058FE" w:rsidRDefault="0049272D" w:rsidP="00B03E79">
            <w:pPr>
              <w:spacing w:before="100" w:beforeAutospacing="1" w:after="100" w:afterAutospacing="1" w:line="240" w:lineRule="auto"/>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Kopējās izmaiņas budžeta ieņēmumos t.sk.:</w:t>
            </w:r>
          </w:p>
        </w:tc>
        <w:tc>
          <w:tcPr>
            <w:tcW w:w="772" w:type="pct"/>
            <w:gridSpan w:val="2"/>
            <w:tcBorders>
              <w:top w:val="single" w:sz="6" w:space="0" w:color="000000"/>
              <w:left w:val="single" w:sz="6" w:space="0" w:color="000000"/>
              <w:bottom w:val="single" w:sz="6" w:space="0" w:color="000000"/>
              <w:right w:val="single" w:sz="6" w:space="0" w:color="000000"/>
            </w:tcBorders>
            <w:vAlign w:val="center"/>
            <w:hideMark/>
          </w:tcPr>
          <w:p w:rsidR="00A945C1" w:rsidRPr="00AD74EA" w:rsidRDefault="0049272D" w:rsidP="00B03E79">
            <w:pPr>
              <w:spacing w:after="0" w:line="240" w:lineRule="auto"/>
              <w:jc w:val="right"/>
              <w:rPr>
                <w:rFonts w:ascii="Times New Roman" w:eastAsia="Times New Roman" w:hAnsi="Times New Roman" w:cs="Times New Roman"/>
                <w:sz w:val="24"/>
                <w:szCs w:val="24"/>
              </w:rPr>
            </w:pPr>
            <w:r w:rsidRPr="00AD74EA">
              <w:rPr>
                <w:rFonts w:ascii="Times New Roman" w:eastAsia="Times New Roman" w:hAnsi="Times New Roman" w:cs="Times New Roman"/>
                <w:sz w:val="24"/>
                <w:szCs w:val="24"/>
              </w:rPr>
              <w:t> </w:t>
            </w:r>
            <w:r w:rsidR="00221125" w:rsidRPr="00AD74EA">
              <w:rPr>
                <w:rFonts w:ascii="Times New Roman" w:eastAsia="Times New Roman" w:hAnsi="Times New Roman" w:cs="Times New Roman"/>
                <w:sz w:val="24"/>
                <w:szCs w:val="24"/>
              </w:rPr>
              <w:t>0</w:t>
            </w:r>
          </w:p>
        </w:tc>
        <w:tc>
          <w:tcPr>
            <w:tcW w:w="1698" w:type="pct"/>
            <w:tcBorders>
              <w:top w:val="single" w:sz="6" w:space="0" w:color="000000"/>
              <w:left w:val="single" w:sz="6" w:space="0" w:color="000000"/>
              <w:bottom w:val="single" w:sz="6" w:space="0" w:color="000000"/>
              <w:right w:val="single" w:sz="6" w:space="0" w:color="000000"/>
            </w:tcBorders>
            <w:vAlign w:val="center"/>
            <w:hideMark/>
          </w:tcPr>
          <w:p w:rsidR="00A945C1" w:rsidRPr="00AD74EA" w:rsidRDefault="00221125" w:rsidP="00B03E79">
            <w:pPr>
              <w:spacing w:after="0" w:line="240" w:lineRule="auto"/>
              <w:jc w:val="right"/>
              <w:rPr>
                <w:rFonts w:ascii="Times New Roman" w:eastAsia="Times New Roman" w:hAnsi="Times New Roman" w:cs="Times New Roman"/>
                <w:sz w:val="24"/>
                <w:szCs w:val="24"/>
              </w:rPr>
            </w:pPr>
            <w:r w:rsidRPr="00AD74EA">
              <w:rPr>
                <w:rFonts w:ascii="Times New Roman" w:eastAsia="Times New Roman" w:hAnsi="Times New Roman" w:cs="Times New Roman"/>
                <w:sz w:val="24"/>
                <w:szCs w:val="24"/>
              </w:rPr>
              <w:t>0</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A945C1" w:rsidRPr="00AD74EA" w:rsidRDefault="00221125" w:rsidP="00B03E79">
            <w:pPr>
              <w:spacing w:after="0" w:line="240" w:lineRule="auto"/>
              <w:jc w:val="right"/>
              <w:rPr>
                <w:rFonts w:ascii="Times New Roman" w:eastAsia="Times New Roman" w:hAnsi="Times New Roman" w:cs="Times New Roman"/>
                <w:sz w:val="24"/>
                <w:szCs w:val="24"/>
              </w:rPr>
            </w:pPr>
            <w:r w:rsidRPr="00AD74EA">
              <w:rPr>
                <w:rFonts w:ascii="Times New Roman" w:eastAsia="Times New Roman" w:hAnsi="Times New Roman" w:cs="Times New Roman"/>
                <w:sz w:val="24"/>
                <w:szCs w:val="24"/>
              </w:rPr>
              <w:t>0</w:t>
            </w:r>
            <w:r w:rsidR="0049272D" w:rsidRPr="00AD74EA">
              <w:rPr>
                <w:rFonts w:ascii="Times New Roman" w:eastAsia="Times New Roman" w:hAnsi="Times New Roman" w:cs="Times New Roman"/>
                <w:sz w:val="24"/>
                <w:szCs w:val="24"/>
              </w:rPr>
              <w:t> </w:t>
            </w:r>
          </w:p>
        </w:tc>
      </w:tr>
      <w:tr w:rsidR="00F75B51"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vAlign w:val="center"/>
            <w:hideMark/>
          </w:tcPr>
          <w:p w:rsidR="00221125" w:rsidRPr="005058FE" w:rsidRDefault="00221125"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Izmaiņas valsts budžeta ieņēmumos</w:t>
            </w:r>
          </w:p>
        </w:tc>
        <w:tc>
          <w:tcPr>
            <w:tcW w:w="772" w:type="pct"/>
            <w:gridSpan w:val="2"/>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1698" w:type="pct"/>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058FE">
              <w:rPr>
                <w:rFonts w:ascii="Times New Roman" w:eastAsia="Times New Roman" w:hAnsi="Times New Roman" w:cs="Times New Roman"/>
                <w:sz w:val="24"/>
                <w:szCs w:val="24"/>
              </w:rPr>
              <w:t> </w:t>
            </w:r>
          </w:p>
        </w:tc>
      </w:tr>
      <w:tr w:rsidR="00F75B51"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221125" w:rsidRPr="005058FE" w:rsidRDefault="00221125"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Izmaiņas pašvaldību budžeta ieņēmumos</w:t>
            </w:r>
          </w:p>
        </w:tc>
        <w:tc>
          <w:tcPr>
            <w:tcW w:w="772" w:type="pct"/>
            <w:gridSpan w:val="2"/>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1698" w:type="pct"/>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A945C1" w:rsidRDefault="00221125" w:rsidP="00B03E7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058FE">
              <w:rPr>
                <w:rFonts w:ascii="Times New Roman" w:eastAsia="Times New Roman" w:hAnsi="Times New Roman" w:cs="Times New Roman"/>
                <w:sz w:val="24"/>
                <w:szCs w:val="24"/>
              </w:rPr>
              <w:t> </w:t>
            </w:r>
          </w:p>
        </w:tc>
      </w:tr>
      <w:tr w:rsidR="00F75B51"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790B38" w:rsidRPr="005058FE" w:rsidRDefault="00790B38"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Kopējās izmaiņas budžeta izdevumos t.sk.:</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790B38"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hideMark/>
          </w:tcPr>
          <w:p w:rsidR="00FF33B8"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hideMark/>
          </w:tcPr>
          <w:p w:rsidR="00790B38"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vAlign w:val="center"/>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Izmaiņas valsts budžeta izdevumos</w:t>
            </w:r>
          </w:p>
        </w:tc>
        <w:tc>
          <w:tcPr>
            <w:tcW w:w="772" w:type="pct"/>
            <w:gridSpan w:val="2"/>
            <w:tcBorders>
              <w:top w:val="single" w:sz="6" w:space="0" w:color="000000"/>
              <w:left w:val="single" w:sz="6" w:space="0" w:color="000000"/>
              <w:bottom w:val="single" w:sz="6" w:space="0" w:color="000000"/>
              <w:right w:val="single" w:sz="6" w:space="0" w:color="000000"/>
            </w:tcBorders>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tcPr>
          <w:p w:rsidR="00AD74EA"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tai skaitā: Izglītības un zinātnes ministrija</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hideMark/>
          </w:tcPr>
          <w:p w:rsidR="00AD74EA"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budžeta programma 03.13.00 „Studiju virzienu akreditācija” </w:t>
            </w:r>
          </w:p>
        </w:tc>
        <w:tc>
          <w:tcPr>
            <w:tcW w:w="772" w:type="pct"/>
            <w:gridSpan w:val="2"/>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190217</w:t>
            </w:r>
          </w:p>
        </w:tc>
        <w:tc>
          <w:tcPr>
            <w:tcW w:w="1698" w:type="pct"/>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181697</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214514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EKK 3000</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190217</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181697</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214514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apakšprogramma 42.01.00. „Iestāžu darbības nodrošināšana” izdevumi kopā:</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Pr="005058FE"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EKK 1000</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58580</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Pr="005058FE"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58580</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58580</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EKK 1100</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11181</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11181</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11181</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EKK 2000</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8680</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8680</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8680</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Izmaiņas pašvaldību budžeta izdevumos</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698"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739"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Kopējā finansiālā ietekme:</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hideMark/>
          </w:tcPr>
          <w:p w:rsidR="00AD74EA"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Finansiālā ietekme uz valsts budžetu</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hideMark/>
          </w:tcPr>
          <w:p w:rsidR="00AD74EA"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tai skaitā: Izglītības un zinātnes ministrija</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257477</w:t>
            </w:r>
          </w:p>
        </w:tc>
        <w:tc>
          <w:tcPr>
            <w:tcW w:w="1698" w:type="pct"/>
            <w:tcBorders>
              <w:top w:val="single" w:sz="6" w:space="0" w:color="000000"/>
              <w:left w:val="single" w:sz="6" w:space="0" w:color="000000"/>
              <w:bottom w:val="single" w:sz="6" w:space="0" w:color="000000"/>
              <w:right w:val="single" w:sz="6" w:space="0" w:color="000000"/>
            </w:tcBorders>
          </w:tcPr>
          <w:p w:rsidR="00AD74EA" w:rsidRPr="00FF33B8" w:rsidRDefault="00AD74EA" w:rsidP="00B03E79">
            <w:pPr>
              <w:spacing w:after="0" w:line="60" w:lineRule="atLeast"/>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248957</w:t>
            </w:r>
          </w:p>
        </w:tc>
        <w:tc>
          <w:tcPr>
            <w:tcW w:w="739"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281774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budžeta programma 03.13.00 „Studiju virzienu akreditācija” </w:t>
            </w:r>
          </w:p>
        </w:tc>
        <w:tc>
          <w:tcPr>
            <w:tcW w:w="772" w:type="pct"/>
            <w:gridSpan w:val="2"/>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190217</w:t>
            </w:r>
          </w:p>
        </w:tc>
        <w:tc>
          <w:tcPr>
            <w:tcW w:w="1698" w:type="pct"/>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181697</w:t>
            </w:r>
          </w:p>
        </w:tc>
        <w:tc>
          <w:tcPr>
            <w:tcW w:w="739" w:type="pct"/>
            <w:tcBorders>
              <w:top w:val="single" w:sz="6" w:space="0" w:color="000000"/>
              <w:left w:val="single" w:sz="6" w:space="0" w:color="000000"/>
              <w:bottom w:val="single" w:sz="6" w:space="0" w:color="000000"/>
              <w:right w:val="single" w:sz="6" w:space="0" w:color="000000"/>
            </w:tcBorders>
            <w:vAlign w:val="center"/>
            <w:hideMark/>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214514</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before="100" w:beforeAutospacing="1" w:after="100" w:afterAutospacing="1" w:line="60" w:lineRule="atLeast"/>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apakšprogramma 42.01.00. „Iestāžu darbības nodrošināšana” izdevumi kopā:</w:t>
            </w:r>
          </w:p>
        </w:tc>
        <w:tc>
          <w:tcPr>
            <w:tcW w:w="772" w:type="pct"/>
            <w:gridSpan w:val="2"/>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c>
          <w:tcPr>
            <w:tcW w:w="1698" w:type="pct"/>
            <w:tcBorders>
              <w:top w:val="single" w:sz="6" w:space="0" w:color="000000"/>
              <w:left w:val="single" w:sz="6" w:space="0" w:color="000000"/>
              <w:bottom w:val="single" w:sz="6" w:space="0" w:color="000000"/>
              <w:right w:val="single" w:sz="6" w:space="0" w:color="000000"/>
            </w:tcBorders>
            <w:vAlign w:val="center"/>
          </w:tcPr>
          <w:p w:rsidR="00AD74EA" w:rsidRPr="005058FE"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67260</w:t>
            </w: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Finansiālā ietekme uz pašvaldību budžetu</w:t>
            </w:r>
          </w:p>
        </w:tc>
        <w:tc>
          <w:tcPr>
            <w:tcW w:w="772" w:type="pct"/>
            <w:gridSpan w:val="2"/>
            <w:tcBorders>
              <w:top w:val="single" w:sz="6" w:space="0" w:color="000000"/>
              <w:left w:val="single" w:sz="6" w:space="0" w:color="000000"/>
              <w:bottom w:val="single" w:sz="6" w:space="0" w:color="000000"/>
              <w:right w:val="single" w:sz="6" w:space="0" w:color="000000"/>
            </w:tcBorders>
            <w:hideMark/>
          </w:tcPr>
          <w:p w:rsidR="00AD74EA" w:rsidRDefault="00AD74EA" w:rsidP="00B03E79">
            <w:pPr>
              <w:spacing w:after="0" w:line="60" w:lineRule="atLeast"/>
              <w:jc w:val="righ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1698"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9" w:type="pct"/>
            <w:tcBorders>
              <w:top w:val="single" w:sz="6" w:space="0" w:color="000000"/>
              <w:left w:val="single" w:sz="6" w:space="0" w:color="000000"/>
              <w:bottom w:val="single" w:sz="6" w:space="0" w:color="000000"/>
              <w:right w:val="single" w:sz="6" w:space="0" w:color="000000"/>
            </w:tcBorders>
          </w:tcPr>
          <w:p w:rsidR="00AD74EA" w:rsidRDefault="00AD74EA" w:rsidP="00B03E79">
            <w:pPr>
              <w:spacing w:after="0" w:line="6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D74EA" w:rsidRPr="005058FE" w:rsidTr="00787801">
        <w:trPr>
          <w:gridBefore w:val="1"/>
          <w:wBefore w:w="1792" w:type="pct"/>
          <w:trHeight w:val="4787"/>
        </w:trPr>
        <w:tc>
          <w:tcPr>
            <w:tcW w:w="772" w:type="pct"/>
            <w:gridSpan w:val="2"/>
            <w:tcBorders>
              <w:top w:val="single" w:sz="6" w:space="0" w:color="000000"/>
              <w:left w:val="single" w:sz="6" w:space="0" w:color="000000"/>
              <w:bottom w:val="single" w:sz="6" w:space="0" w:color="000000"/>
              <w:right w:val="single" w:sz="6" w:space="0" w:color="000000"/>
            </w:tcBorders>
            <w:hideMark/>
          </w:tcPr>
          <w:p w:rsidR="00B932F5" w:rsidRDefault="00AD74EA" w:rsidP="00B03E79">
            <w:pPr>
              <w:spacing w:before="100" w:beforeAutospacing="1" w:after="100" w:afterAutospacing="1"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lastRenderedPageBreak/>
              <w:t xml:space="preserve">Detalizēts ieņēmumu un izdevumu aprēķins </w:t>
            </w:r>
            <w:proofErr w:type="gramStart"/>
            <w:r w:rsidRPr="005058FE">
              <w:rPr>
                <w:rFonts w:ascii="Times New Roman" w:eastAsia="Times New Roman" w:hAnsi="Times New Roman" w:cs="Times New Roman"/>
                <w:sz w:val="24"/>
                <w:szCs w:val="24"/>
              </w:rPr>
              <w:t>(</w:t>
            </w:r>
            <w:proofErr w:type="gramEnd"/>
            <w:r w:rsidRPr="005058FE">
              <w:rPr>
                <w:rFonts w:ascii="Times New Roman" w:eastAsia="Times New Roman" w:hAnsi="Times New Roman" w:cs="Times New Roman"/>
                <w:sz w:val="24"/>
                <w:szCs w:val="24"/>
              </w:rPr>
              <w:t>ja nepieciešams, detalizētu ieņēmumu un izdevumu aprēķinu pievieno politikas plānošanas dokumenta pielikumā. Ietekmi uz valsts un pašvaldību budžetiem norāda atsevišķi valsts un pašvaldību budžetam)</w:t>
            </w: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Pr="00B932F5" w:rsidRDefault="00B932F5" w:rsidP="00B932F5">
            <w:pPr>
              <w:rPr>
                <w:rFonts w:ascii="Times New Roman" w:eastAsia="Times New Roman" w:hAnsi="Times New Roman" w:cs="Times New Roman"/>
                <w:sz w:val="24"/>
                <w:szCs w:val="24"/>
              </w:rPr>
            </w:pPr>
          </w:p>
          <w:p w:rsidR="00B932F5" w:rsidRDefault="00B932F5" w:rsidP="00B932F5">
            <w:pPr>
              <w:rPr>
                <w:rFonts w:ascii="Times New Roman" w:eastAsia="Times New Roman" w:hAnsi="Times New Roman" w:cs="Times New Roman"/>
                <w:sz w:val="24"/>
                <w:szCs w:val="24"/>
              </w:rPr>
            </w:pPr>
          </w:p>
          <w:p w:rsidR="00AD74EA" w:rsidRPr="00B932F5" w:rsidRDefault="00AD74EA" w:rsidP="00B932F5">
            <w:pPr>
              <w:rPr>
                <w:rFonts w:ascii="Times New Roman" w:eastAsia="Times New Roman" w:hAnsi="Times New Roman" w:cs="Times New Roman"/>
                <w:sz w:val="24"/>
                <w:szCs w:val="24"/>
              </w:rPr>
            </w:pPr>
          </w:p>
        </w:tc>
        <w:tc>
          <w:tcPr>
            <w:tcW w:w="2436" w:type="pct"/>
            <w:gridSpan w:val="2"/>
            <w:tcBorders>
              <w:top w:val="single" w:sz="6" w:space="0" w:color="000000"/>
              <w:left w:val="single" w:sz="6" w:space="0" w:color="000000"/>
              <w:bottom w:val="single" w:sz="6" w:space="0" w:color="000000"/>
              <w:right w:val="single" w:sz="6" w:space="0" w:color="000000"/>
            </w:tcBorders>
          </w:tcPr>
          <w:p w:rsidR="002606F2" w:rsidRPr="00356E48"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F95550">
              <w:rPr>
                <w:rFonts w:ascii="Times New Roman" w:hAnsi="Times New Roman"/>
                <w:sz w:val="26"/>
                <w:szCs w:val="26"/>
              </w:rPr>
              <w:t>Samaksa ekspertiem par izvērtējumu</w:t>
            </w:r>
            <w:r>
              <w:rPr>
                <w:rFonts w:ascii="Times New Roman" w:hAnsi="Times New Roman"/>
                <w:sz w:val="26"/>
                <w:szCs w:val="26"/>
              </w:rPr>
              <w:t xml:space="preserve"> tiek aprēķināta, izmantojot Ministru kabineta 2013.gada 3.septembra noteikumus nr. 721 “Izglītības un zinātnes ministrijas maksas pakalpojumu cenrādis” (šo noteikumu anotācijā ir formula pēc, kuras nosaka atalgojumu ekspertiem). Atalgojums aprēķināts, pieņemot vidējos rādītājus, atbilstoši kuriem s</w:t>
            </w:r>
            <w:r w:rsidRPr="00F95550">
              <w:rPr>
                <w:rFonts w:ascii="Times New Roman" w:hAnsi="Times New Roman"/>
                <w:sz w:val="26"/>
                <w:szCs w:val="26"/>
              </w:rPr>
              <w:t>amaksa ekspertiem par 1 izvērtējumu s</w:t>
            </w:r>
            <w:r>
              <w:rPr>
                <w:rFonts w:ascii="Times New Roman" w:hAnsi="Times New Roman"/>
                <w:sz w:val="26"/>
                <w:szCs w:val="26"/>
              </w:rPr>
              <w:t>tudiju programmas licencēšanai</w:t>
            </w:r>
            <w:proofErr w:type="gramStart"/>
            <w:r>
              <w:rPr>
                <w:rFonts w:ascii="Times New Roman" w:hAnsi="Times New Roman"/>
                <w:sz w:val="26"/>
                <w:szCs w:val="26"/>
              </w:rPr>
              <w:t xml:space="preserve">  </w:t>
            </w:r>
            <w:proofErr w:type="gramEnd"/>
            <w:r>
              <w:rPr>
                <w:rFonts w:ascii="Times New Roman" w:hAnsi="Times New Roman"/>
                <w:sz w:val="26"/>
                <w:szCs w:val="26"/>
              </w:rPr>
              <w:t>ir 562 EUR, s</w:t>
            </w:r>
            <w:r w:rsidRPr="00F95550">
              <w:rPr>
                <w:rFonts w:ascii="Times New Roman" w:hAnsi="Times New Roman"/>
                <w:sz w:val="26"/>
                <w:szCs w:val="26"/>
              </w:rPr>
              <w:t xml:space="preserve">amaksa ekspertiem par 1 izvērtējumu studiju </w:t>
            </w:r>
            <w:r>
              <w:rPr>
                <w:rFonts w:ascii="Times New Roman" w:hAnsi="Times New Roman"/>
                <w:sz w:val="26"/>
                <w:szCs w:val="26"/>
              </w:rPr>
              <w:t>virziena akreditācijai ir 3071 EUR, s</w:t>
            </w:r>
            <w:r w:rsidRPr="00F95550">
              <w:rPr>
                <w:rFonts w:ascii="Times New Roman" w:hAnsi="Times New Roman"/>
                <w:sz w:val="26"/>
                <w:szCs w:val="26"/>
              </w:rPr>
              <w:t xml:space="preserve">amaksa ekspertiem par 1 izvērtējumu </w:t>
            </w:r>
            <w:r>
              <w:rPr>
                <w:rFonts w:ascii="Times New Roman" w:hAnsi="Times New Roman"/>
                <w:sz w:val="26"/>
                <w:szCs w:val="26"/>
              </w:rPr>
              <w:t xml:space="preserve">augstākās izglītības iestādes akreditācijai ir 4502 EUR. Kopā tas veido 2015.g.: </w:t>
            </w:r>
            <w:r w:rsidRPr="00356E48">
              <w:rPr>
                <w:rFonts w:ascii="Times New Roman" w:hAnsi="Times New Roman"/>
                <w:sz w:val="26"/>
                <w:szCs w:val="26"/>
              </w:rPr>
              <w:t>562*20+3071*28+4502*2=106232 EUR; 2016.g.: 562*15+3071*3=17643 EUR; 2017.g.: 562*15+3071*10=39140 EUR</w:t>
            </w:r>
          </w:p>
          <w:p w:rsidR="002606F2" w:rsidRPr="006C0529"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6C0529">
              <w:rPr>
                <w:rFonts w:ascii="Times New Roman" w:hAnsi="Times New Roman" w:cs="Times New Roman"/>
                <w:sz w:val="26"/>
                <w:szCs w:val="26"/>
              </w:rPr>
              <w:t xml:space="preserve">Tiek piemērota vidējā telpu cena par </w:t>
            </w:r>
            <w:r>
              <w:rPr>
                <w:rFonts w:ascii="Times New Roman" w:hAnsi="Times New Roman" w:cs="Times New Roman"/>
                <w:sz w:val="26"/>
                <w:szCs w:val="26"/>
              </w:rPr>
              <w:t>m</w:t>
            </w:r>
            <w:r w:rsidRPr="00F95550">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mēnesī 4 EUR/</w:t>
            </w:r>
            <w:r w:rsidRPr="00085E52">
              <w:rPr>
                <w:rFonts w:ascii="Times New Roman" w:hAnsi="Times New Roman" w:cs="Times New Roman"/>
                <w:sz w:val="26"/>
                <w:szCs w:val="26"/>
              </w:rPr>
              <w:t xml:space="preserve"> </w:t>
            </w:r>
            <w:r>
              <w:rPr>
                <w:rFonts w:ascii="Times New Roman" w:hAnsi="Times New Roman" w:cs="Times New Roman"/>
                <w:sz w:val="26"/>
                <w:szCs w:val="26"/>
              </w:rPr>
              <w:t>m</w:t>
            </w:r>
            <w:r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bez PVN (</w:t>
            </w:r>
            <w:hyperlink r:id="rId9" w:history="1">
              <w:r w:rsidRPr="006C0529">
                <w:rPr>
                  <w:rStyle w:val="Hyperlink"/>
                  <w:rFonts w:ascii="Times New Roman" w:hAnsi="Times New Roman" w:cs="Times New Roman"/>
                  <w:sz w:val="26"/>
                  <w:szCs w:val="26"/>
                </w:rPr>
                <w:t>www.vni.lv</w:t>
              </w:r>
            </w:hyperlink>
            <w:r w:rsidRPr="006C0529">
              <w:rPr>
                <w:rFonts w:ascii="Times New Roman" w:hAnsi="Times New Roman" w:cs="Times New Roman"/>
                <w:sz w:val="26"/>
                <w:szCs w:val="26"/>
              </w:rPr>
              <w:t xml:space="preserve"> 3,50 - 5 EUR/</w:t>
            </w:r>
            <w:r w:rsidRPr="00085E52">
              <w:rPr>
                <w:rFonts w:ascii="Times New Roman" w:hAnsi="Times New Roman" w:cs="Times New Roman"/>
                <w:sz w:val="26"/>
                <w:szCs w:val="26"/>
              </w:rPr>
              <w:t xml:space="preserve"> </w:t>
            </w:r>
            <w:r>
              <w:rPr>
                <w:rFonts w:ascii="Times New Roman" w:hAnsi="Times New Roman" w:cs="Times New Roman"/>
                <w:sz w:val="26"/>
                <w:szCs w:val="26"/>
              </w:rPr>
              <w:t>m</w:t>
            </w:r>
            <w:r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Telpu nomai un uzturēšanai gadā:</w:t>
            </w:r>
            <w:proofErr w:type="gramStart"/>
            <w:r w:rsidRPr="006C0529">
              <w:rPr>
                <w:rFonts w:ascii="Times New Roman" w:hAnsi="Times New Roman" w:cs="Times New Roman"/>
                <w:sz w:val="26"/>
                <w:szCs w:val="26"/>
              </w:rPr>
              <w:t xml:space="preserve">  </w:t>
            </w:r>
            <w:proofErr w:type="gramEnd"/>
            <w:r w:rsidRPr="006C0529">
              <w:rPr>
                <w:rFonts w:ascii="Times New Roman" w:hAnsi="Times New Roman" w:cs="Times New Roman"/>
                <w:sz w:val="26"/>
                <w:szCs w:val="26"/>
              </w:rPr>
              <w:t xml:space="preserve">10 </w:t>
            </w:r>
            <w:r w:rsidRPr="00085E52">
              <w:rPr>
                <w:rFonts w:ascii="Times New Roman" w:hAnsi="Times New Roman" w:cs="Times New Roman"/>
                <w:sz w:val="26"/>
                <w:szCs w:val="26"/>
              </w:rPr>
              <w:t xml:space="preserve"> </w:t>
            </w:r>
            <w:r>
              <w:rPr>
                <w:rFonts w:ascii="Times New Roman" w:hAnsi="Times New Roman" w:cs="Times New Roman"/>
                <w:sz w:val="26"/>
                <w:szCs w:val="26"/>
              </w:rPr>
              <w:t>m</w:t>
            </w:r>
            <w:r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/darbiniekam x </w:t>
            </w:r>
            <w:r>
              <w:rPr>
                <w:rFonts w:ascii="Times New Roman" w:hAnsi="Times New Roman" w:cs="Times New Roman"/>
                <w:sz w:val="26"/>
                <w:szCs w:val="26"/>
              </w:rPr>
              <w:t>6</w:t>
            </w:r>
            <w:r w:rsidRPr="006C0529">
              <w:rPr>
                <w:rFonts w:ascii="Times New Roman" w:hAnsi="Times New Roman" w:cs="Times New Roman"/>
                <w:sz w:val="26"/>
                <w:szCs w:val="26"/>
              </w:rPr>
              <w:t xml:space="preserve"> darbinieki</w:t>
            </w:r>
            <w:r>
              <w:rPr>
                <w:rFonts w:ascii="Times New Roman" w:hAnsi="Times New Roman" w:cs="Times New Roman"/>
                <w:sz w:val="26"/>
                <w:szCs w:val="26"/>
              </w:rPr>
              <w:t xml:space="preserve"> + 30 m</w:t>
            </w:r>
            <w:r w:rsidRPr="00DD4013">
              <w:rPr>
                <w:rFonts w:ascii="Times New Roman" w:hAnsi="Times New Roman" w:cs="Times New Roman"/>
                <w:sz w:val="26"/>
                <w:szCs w:val="26"/>
                <w:vertAlign w:val="superscript"/>
              </w:rPr>
              <w:t>2</w:t>
            </w:r>
            <w:r>
              <w:rPr>
                <w:rFonts w:ascii="Times New Roman" w:hAnsi="Times New Roman" w:cs="Times New Roman"/>
                <w:sz w:val="26"/>
                <w:szCs w:val="26"/>
              </w:rPr>
              <w:t xml:space="preserve"> sēžu zāle komisijas sēdēm un ekspertu diskusijām un tikšanās</w:t>
            </w:r>
            <w:r w:rsidRPr="006C0529">
              <w:rPr>
                <w:rFonts w:ascii="Times New Roman" w:hAnsi="Times New Roman" w:cs="Times New Roman"/>
                <w:sz w:val="26"/>
                <w:szCs w:val="26"/>
              </w:rPr>
              <w:t xml:space="preserve"> </w:t>
            </w:r>
            <w:r>
              <w:rPr>
                <w:rFonts w:ascii="Times New Roman" w:hAnsi="Times New Roman" w:cs="Times New Roman"/>
                <w:sz w:val="26"/>
                <w:szCs w:val="26"/>
              </w:rPr>
              <w:t>+ 20 m</w:t>
            </w:r>
            <w:r w:rsidRPr="00DD4013">
              <w:rPr>
                <w:rFonts w:ascii="Times New Roman" w:hAnsi="Times New Roman" w:cs="Times New Roman"/>
                <w:sz w:val="26"/>
                <w:szCs w:val="26"/>
                <w:vertAlign w:val="superscript"/>
              </w:rPr>
              <w:t>2</w:t>
            </w:r>
            <w:r>
              <w:rPr>
                <w:rFonts w:ascii="Times New Roman" w:hAnsi="Times New Roman" w:cs="Times New Roman"/>
                <w:sz w:val="26"/>
                <w:szCs w:val="26"/>
              </w:rPr>
              <w:t xml:space="preserve"> administrācijas un koplietošanas telpām  </w:t>
            </w:r>
            <w:r w:rsidRPr="006C0529">
              <w:rPr>
                <w:rFonts w:ascii="Times New Roman" w:hAnsi="Times New Roman" w:cs="Times New Roman"/>
                <w:sz w:val="26"/>
                <w:szCs w:val="26"/>
              </w:rPr>
              <w:t>x 4 EUR/</w:t>
            </w:r>
            <w:r w:rsidRPr="00085E52">
              <w:rPr>
                <w:rFonts w:ascii="Times New Roman" w:hAnsi="Times New Roman" w:cs="Times New Roman"/>
                <w:sz w:val="26"/>
                <w:szCs w:val="26"/>
              </w:rPr>
              <w:t xml:space="preserve"> </w:t>
            </w:r>
            <w:r>
              <w:rPr>
                <w:rFonts w:ascii="Times New Roman" w:hAnsi="Times New Roman" w:cs="Times New Roman"/>
                <w:sz w:val="26"/>
                <w:szCs w:val="26"/>
              </w:rPr>
              <w:t>m</w:t>
            </w:r>
            <w:r w:rsidRPr="00DD4013">
              <w:rPr>
                <w:rFonts w:ascii="Times New Roman" w:hAnsi="Times New Roman" w:cs="Times New Roman"/>
                <w:sz w:val="26"/>
                <w:szCs w:val="26"/>
                <w:vertAlign w:val="superscript"/>
              </w:rPr>
              <w:t>2</w:t>
            </w:r>
            <w:r w:rsidRPr="006C0529">
              <w:rPr>
                <w:rFonts w:ascii="Times New Roman" w:hAnsi="Times New Roman" w:cs="Times New Roman"/>
                <w:sz w:val="26"/>
                <w:szCs w:val="26"/>
              </w:rPr>
              <w:t xml:space="preserve"> mēnesī  x 1,21 (PVN) x 12 mēneši + </w:t>
            </w:r>
            <w:r>
              <w:rPr>
                <w:rFonts w:ascii="Times New Roman" w:hAnsi="Times New Roman" w:cs="Times New Roman"/>
                <w:sz w:val="26"/>
                <w:szCs w:val="26"/>
              </w:rPr>
              <w:t>25</w:t>
            </w:r>
            <w:r w:rsidRPr="006C0529">
              <w:rPr>
                <w:rFonts w:ascii="Times New Roman" w:hAnsi="Times New Roman" w:cs="Times New Roman"/>
                <w:sz w:val="26"/>
                <w:szCs w:val="26"/>
              </w:rPr>
              <w:t xml:space="preserve">00 EUR (komunālie maksājumi ) = </w:t>
            </w:r>
            <w:r>
              <w:rPr>
                <w:rFonts w:ascii="Times New Roman" w:hAnsi="Times New Roman" w:cs="Times New Roman"/>
                <w:sz w:val="26"/>
                <w:szCs w:val="26"/>
              </w:rPr>
              <w:t>8888.8</w:t>
            </w:r>
            <w:r w:rsidRPr="006C0529">
              <w:rPr>
                <w:rFonts w:ascii="Times New Roman" w:hAnsi="Times New Roman" w:cs="Times New Roman"/>
                <w:sz w:val="26"/>
                <w:szCs w:val="26"/>
              </w:rPr>
              <w:t xml:space="preserve"> EUR gadā. Izdevumus telpu uzturēšanai un nomai aprēķina, piemērojot MK 18.01.2011. ieteikumus Nr. 1 "Vienotās prasības valsts institūciju biroju telpām" nosacījumus. Saskaņā ar minēto MK noteikumu 1.pielikuma 2.2.1.apakšpunktu viena darbinieka nosacītās </w:t>
            </w:r>
            <w:proofErr w:type="gramStart"/>
            <w:r w:rsidRPr="006C0529">
              <w:rPr>
                <w:rFonts w:ascii="Times New Roman" w:hAnsi="Times New Roman" w:cs="Times New Roman"/>
                <w:sz w:val="26"/>
                <w:szCs w:val="26"/>
              </w:rPr>
              <w:t>darba vietas</w:t>
            </w:r>
            <w:proofErr w:type="gramEnd"/>
            <w:r w:rsidRPr="006C0529">
              <w:rPr>
                <w:rFonts w:ascii="Times New Roman" w:hAnsi="Times New Roman" w:cs="Times New Roman"/>
                <w:sz w:val="26"/>
                <w:szCs w:val="26"/>
              </w:rPr>
              <w:t xml:space="preserve"> vidējā aprēķinātā platība ir 10 </w:t>
            </w:r>
            <w:r>
              <w:rPr>
                <w:rFonts w:ascii="Times New Roman" w:hAnsi="Times New Roman" w:cs="Times New Roman"/>
                <w:sz w:val="26"/>
                <w:szCs w:val="26"/>
              </w:rPr>
              <w:t>m</w:t>
            </w:r>
            <w:r w:rsidRPr="001941CB">
              <w:rPr>
                <w:rFonts w:ascii="Times New Roman" w:hAnsi="Times New Roman" w:cs="Times New Roman"/>
                <w:sz w:val="26"/>
                <w:szCs w:val="26"/>
                <w:vertAlign w:val="superscript"/>
              </w:rPr>
              <w:t>2</w:t>
            </w:r>
            <w:r w:rsidRPr="006C0529">
              <w:rPr>
                <w:rFonts w:ascii="Times New Roman" w:hAnsi="Times New Roman" w:cs="Times New Roman"/>
                <w:sz w:val="26"/>
                <w:szCs w:val="26"/>
              </w:rPr>
              <w:t>.</w:t>
            </w:r>
          </w:p>
          <w:p w:rsidR="002606F2" w:rsidRPr="006C0529"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proofErr w:type="gramStart"/>
            <w:r w:rsidRPr="006C0529">
              <w:rPr>
                <w:rFonts w:ascii="Times New Roman" w:hAnsi="Times New Roman" w:cs="Times New Roman"/>
                <w:sz w:val="26"/>
                <w:szCs w:val="26"/>
              </w:rPr>
              <w:t>Darba vietas</w:t>
            </w:r>
            <w:proofErr w:type="gramEnd"/>
            <w:r w:rsidRPr="006C0529">
              <w:rPr>
                <w:rFonts w:ascii="Times New Roman" w:hAnsi="Times New Roman" w:cs="Times New Roman"/>
                <w:sz w:val="26"/>
                <w:szCs w:val="26"/>
              </w:rPr>
              <w:t xml:space="preserve"> izveidošana </w:t>
            </w:r>
            <w:r>
              <w:rPr>
                <w:rFonts w:ascii="Times New Roman" w:hAnsi="Times New Roman" w:cs="Times New Roman"/>
                <w:sz w:val="26"/>
                <w:szCs w:val="26"/>
              </w:rPr>
              <w:t>6 darbiniekiem: 6 x 1420 EUR = 8 520</w:t>
            </w:r>
            <w:r w:rsidRPr="006C0529">
              <w:rPr>
                <w:rFonts w:ascii="Times New Roman" w:hAnsi="Times New Roman" w:cs="Times New Roman"/>
                <w:sz w:val="26"/>
                <w:szCs w:val="26"/>
              </w:rPr>
              <w:t xml:space="preserve"> EUR (tikai izveidošanas gadā; datori ar programmatūru, lāzerprinteris ar toneru, biroja galdi, biroja krēsli, galda piederumi).  </w:t>
            </w:r>
          </w:p>
          <w:p w:rsidR="002606F2" w:rsidRPr="006C0529"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6C0529">
              <w:rPr>
                <w:rFonts w:ascii="Times New Roman" w:hAnsi="Times New Roman" w:cs="Times New Roman"/>
                <w:sz w:val="26"/>
                <w:szCs w:val="26"/>
              </w:rPr>
              <w:t>Darbam nepieciešamie izdevumi 4500 EUR gadā (kancelejas preces, sakari, informatīvi semināri augstskolām,</w:t>
            </w:r>
            <w:proofErr w:type="gramStart"/>
            <w:r w:rsidRPr="006C0529">
              <w:rPr>
                <w:rFonts w:ascii="Times New Roman" w:hAnsi="Times New Roman" w:cs="Times New Roman"/>
                <w:sz w:val="26"/>
                <w:szCs w:val="26"/>
              </w:rPr>
              <w:t xml:space="preserve">  </w:t>
            </w:r>
            <w:proofErr w:type="gramEnd"/>
            <w:r w:rsidRPr="006C0529">
              <w:rPr>
                <w:rFonts w:ascii="Times New Roman" w:hAnsi="Times New Roman" w:cs="Times New Roman"/>
                <w:sz w:val="26"/>
                <w:szCs w:val="26"/>
              </w:rPr>
              <w:t xml:space="preserve">utt.). </w:t>
            </w:r>
          </w:p>
          <w:p w:rsidR="002606F2" w:rsidRPr="006C0529"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6C0529">
              <w:rPr>
                <w:rFonts w:ascii="Times New Roman" w:hAnsi="Times New Roman" w:cs="Times New Roman"/>
                <w:sz w:val="26"/>
                <w:szCs w:val="26"/>
              </w:rPr>
              <w:t xml:space="preserve">Komandējumi uz ārzemēm – nepieciešami 6 ārvalstu komandējumi. (dienas nauda, vidēji – 37 EUR*4 dienas = 148 EUR; naktsmītnes </w:t>
            </w:r>
            <w:r w:rsidRPr="006C0529">
              <w:rPr>
                <w:rFonts w:ascii="Times New Roman" w:hAnsi="Times New Roman" w:cs="Times New Roman"/>
                <w:sz w:val="26"/>
                <w:szCs w:val="26"/>
              </w:rPr>
              <w:lastRenderedPageBreak/>
              <w:t>apmaksa, vidēji – 80 EUR*3 naktis=240 EUR; ceļa izdevumi, vidēji – 340 EUR; dalības maksa, vidēji – 350 EUR). (148+240+340+350)*6</w:t>
            </w:r>
            <w:r>
              <w:rPr>
                <w:rFonts w:ascii="Times New Roman" w:hAnsi="Times New Roman" w:cs="Times New Roman"/>
                <w:sz w:val="26"/>
                <w:szCs w:val="26"/>
              </w:rPr>
              <w:t xml:space="preserve"> </w:t>
            </w:r>
            <w:r w:rsidRPr="006C0529">
              <w:rPr>
                <w:rFonts w:ascii="Times New Roman" w:hAnsi="Times New Roman" w:cs="Times New Roman"/>
                <w:sz w:val="26"/>
                <w:szCs w:val="26"/>
              </w:rPr>
              <w:t>=</w:t>
            </w:r>
            <w:r>
              <w:rPr>
                <w:rFonts w:ascii="Times New Roman" w:hAnsi="Times New Roman" w:cs="Times New Roman"/>
                <w:sz w:val="26"/>
                <w:szCs w:val="26"/>
              </w:rPr>
              <w:t xml:space="preserve"> </w:t>
            </w:r>
            <w:r w:rsidRPr="006C0529">
              <w:rPr>
                <w:rFonts w:ascii="Times New Roman" w:hAnsi="Times New Roman" w:cs="Times New Roman"/>
                <w:sz w:val="26"/>
                <w:szCs w:val="26"/>
              </w:rPr>
              <w:t>6</w:t>
            </w:r>
            <w:r>
              <w:rPr>
                <w:rFonts w:ascii="Times New Roman" w:hAnsi="Times New Roman" w:cs="Times New Roman"/>
                <w:sz w:val="26"/>
                <w:szCs w:val="26"/>
              </w:rPr>
              <w:t xml:space="preserve"> </w:t>
            </w:r>
            <w:r w:rsidRPr="006C0529">
              <w:rPr>
                <w:rFonts w:ascii="Times New Roman" w:hAnsi="Times New Roman" w:cs="Times New Roman"/>
                <w:sz w:val="26"/>
                <w:szCs w:val="26"/>
              </w:rPr>
              <w:t>468 EUR gadā.</w:t>
            </w:r>
            <w:r>
              <w:rPr>
                <w:rFonts w:ascii="Times New Roman" w:hAnsi="Times New Roman" w:cs="Times New Roman"/>
                <w:sz w:val="26"/>
                <w:szCs w:val="26"/>
              </w:rPr>
              <w:t xml:space="preserve"> 2016.g. un 2017.g., sakarā ar aģentūras dalības starptautiskās organizācijās uzsākšanu</w:t>
            </w:r>
            <w:r w:rsidRPr="006C0529">
              <w:rPr>
                <w:rFonts w:ascii="Times New Roman" w:hAnsi="Times New Roman" w:cs="Times New Roman"/>
                <w:sz w:val="26"/>
                <w:szCs w:val="26"/>
              </w:rPr>
              <w:t xml:space="preserve"> </w:t>
            </w:r>
            <w:r>
              <w:rPr>
                <w:rFonts w:ascii="Times New Roman" w:hAnsi="Times New Roman" w:cs="Times New Roman"/>
                <w:sz w:val="26"/>
                <w:szCs w:val="26"/>
              </w:rPr>
              <w:t xml:space="preserve">ārvalstu komandējumu skaits ir dubultots, lai nodrošinātu darbinieku profesionālās kompetences pilnveidošanos, starptautisko sakaru un profesionālo kontaktu attīstību. </w:t>
            </w:r>
          </w:p>
          <w:p w:rsidR="002606F2" w:rsidRPr="006C0529"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6C0529">
              <w:rPr>
                <w:rFonts w:ascii="Times New Roman" w:hAnsi="Times New Roman" w:cs="Times New Roman"/>
                <w:sz w:val="26"/>
                <w:szCs w:val="26"/>
              </w:rPr>
              <w:t xml:space="preserve">Komandējumiem Latvijā – nepieciešami 50 komandējumi </w:t>
            </w:r>
            <w:proofErr w:type="spellStart"/>
            <w:r w:rsidRPr="006C0529">
              <w:rPr>
                <w:rFonts w:ascii="Times New Roman" w:hAnsi="Times New Roman" w:cs="Times New Roman"/>
                <w:sz w:val="26"/>
                <w:szCs w:val="26"/>
              </w:rPr>
              <w:t>gadā.(dienas</w:t>
            </w:r>
            <w:proofErr w:type="spellEnd"/>
            <w:r w:rsidRPr="006C0529">
              <w:rPr>
                <w:rFonts w:ascii="Times New Roman" w:hAnsi="Times New Roman" w:cs="Times New Roman"/>
                <w:sz w:val="26"/>
                <w:szCs w:val="26"/>
              </w:rPr>
              <w:t xml:space="preserve"> nauda – 6 EUR; ceļa izdevumi (turp un atpakaļ), vidēji – 30 EUR). (6 EUR+30 EUR)*50</w:t>
            </w:r>
            <w:r>
              <w:rPr>
                <w:rFonts w:ascii="Times New Roman" w:hAnsi="Times New Roman" w:cs="Times New Roman"/>
                <w:sz w:val="26"/>
                <w:szCs w:val="26"/>
              </w:rPr>
              <w:t xml:space="preserve"> </w:t>
            </w:r>
            <w:r w:rsidRPr="006C0529">
              <w:rPr>
                <w:rFonts w:ascii="Times New Roman" w:hAnsi="Times New Roman" w:cs="Times New Roman"/>
                <w:sz w:val="26"/>
                <w:szCs w:val="26"/>
              </w:rPr>
              <w:t>=</w:t>
            </w:r>
            <w:r>
              <w:rPr>
                <w:rFonts w:ascii="Times New Roman" w:hAnsi="Times New Roman" w:cs="Times New Roman"/>
                <w:sz w:val="26"/>
                <w:szCs w:val="26"/>
              </w:rPr>
              <w:t xml:space="preserve"> </w:t>
            </w:r>
            <w:r w:rsidRPr="006C0529">
              <w:rPr>
                <w:rFonts w:ascii="Times New Roman" w:hAnsi="Times New Roman" w:cs="Times New Roman"/>
                <w:sz w:val="26"/>
                <w:szCs w:val="26"/>
              </w:rPr>
              <w:t>1</w:t>
            </w:r>
            <w:r>
              <w:rPr>
                <w:rFonts w:ascii="Times New Roman" w:hAnsi="Times New Roman" w:cs="Times New Roman"/>
                <w:sz w:val="26"/>
                <w:szCs w:val="26"/>
              </w:rPr>
              <w:t xml:space="preserve"> </w:t>
            </w:r>
            <w:r w:rsidRPr="006C0529">
              <w:rPr>
                <w:rFonts w:ascii="Times New Roman" w:hAnsi="Times New Roman" w:cs="Times New Roman"/>
                <w:sz w:val="26"/>
                <w:szCs w:val="26"/>
              </w:rPr>
              <w:t>800 EUR</w:t>
            </w:r>
          </w:p>
          <w:p w:rsidR="002606F2" w:rsidRPr="006C0529" w:rsidRDefault="002606F2" w:rsidP="00B03E79">
            <w:pPr>
              <w:pStyle w:val="ListParagraph"/>
              <w:numPr>
                <w:ilvl w:val="0"/>
                <w:numId w:val="3"/>
              </w:numPr>
              <w:tabs>
                <w:tab w:val="left" w:pos="133"/>
              </w:tabs>
              <w:spacing w:after="0" w:line="240" w:lineRule="auto"/>
              <w:ind w:left="133" w:hanging="133"/>
              <w:jc w:val="both"/>
              <w:rPr>
                <w:rFonts w:ascii="Times New Roman" w:hAnsi="Times New Roman" w:cs="Times New Roman"/>
                <w:sz w:val="26"/>
                <w:szCs w:val="26"/>
              </w:rPr>
            </w:pPr>
            <w:r w:rsidRPr="006C0529">
              <w:rPr>
                <w:rFonts w:ascii="Times New Roman" w:hAnsi="Times New Roman" w:cs="Times New Roman"/>
                <w:sz w:val="26"/>
                <w:szCs w:val="26"/>
              </w:rPr>
              <w:t xml:space="preserve">Atlīdzība gadā </w:t>
            </w:r>
            <w:r>
              <w:rPr>
                <w:rFonts w:ascii="Times New Roman" w:hAnsi="Times New Roman" w:cs="Times New Roman"/>
                <w:sz w:val="26"/>
                <w:szCs w:val="26"/>
              </w:rPr>
              <w:t xml:space="preserve">6 </w:t>
            </w:r>
            <w:r w:rsidRPr="006C0529">
              <w:rPr>
                <w:rFonts w:ascii="Times New Roman" w:hAnsi="Times New Roman" w:cs="Times New Roman"/>
                <w:sz w:val="26"/>
                <w:szCs w:val="26"/>
              </w:rPr>
              <w:t xml:space="preserve">darbiniekiem: 1400 EUR/mēnesī x 1,2359 x 12 mēneši x </w:t>
            </w:r>
            <w:r>
              <w:rPr>
                <w:rFonts w:ascii="Times New Roman" w:hAnsi="Times New Roman" w:cs="Times New Roman"/>
                <w:sz w:val="26"/>
                <w:szCs w:val="26"/>
              </w:rPr>
              <w:t xml:space="preserve">6 </w:t>
            </w:r>
            <w:r w:rsidRPr="006C0529">
              <w:rPr>
                <w:rFonts w:ascii="Times New Roman" w:hAnsi="Times New Roman" w:cs="Times New Roman"/>
                <w:sz w:val="26"/>
                <w:szCs w:val="26"/>
              </w:rPr>
              <w:t xml:space="preserve">darbinieki = </w:t>
            </w:r>
            <w:r>
              <w:rPr>
                <w:rFonts w:ascii="Times New Roman" w:hAnsi="Times New Roman" w:cs="Times New Roman"/>
                <w:sz w:val="26"/>
                <w:szCs w:val="26"/>
              </w:rPr>
              <w:t>124 579</w:t>
            </w:r>
            <w:r w:rsidRPr="006C0529">
              <w:rPr>
                <w:rFonts w:ascii="Times New Roman" w:hAnsi="Times New Roman" w:cs="Times New Roman"/>
                <w:sz w:val="26"/>
                <w:szCs w:val="26"/>
              </w:rPr>
              <w:t xml:space="preserve"> EUR gadā. </w:t>
            </w:r>
          </w:p>
          <w:p w:rsidR="002606F2" w:rsidRDefault="002606F2" w:rsidP="00B03E79">
            <w:pPr>
              <w:pStyle w:val="ListParagraph"/>
              <w:numPr>
                <w:ilvl w:val="0"/>
                <w:numId w:val="3"/>
              </w:numPr>
              <w:spacing w:after="0" w:line="240" w:lineRule="auto"/>
              <w:ind w:left="133" w:firstLine="0"/>
              <w:jc w:val="both"/>
              <w:rPr>
                <w:rFonts w:ascii="Times New Roman" w:hAnsi="Times New Roman" w:cs="Times New Roman"/>
                <w:sz w:val="26"/>
                <w:szCs w:val="26"/>
              </w:rPr>
            </w:pPr>
            <w:r w:rsidRPr="00F95550">
              <w:rPr>
                <w:rFonts w:ascii="Times New Roman" w:hAnsi="Times New Roman" w:cs="Times New Roman"/>
                <w:sz w:val="26"/>
                <w:szCs w:val="26"/>
              </w:rPr>
              <w:t>Atlīdzība gadā komisijas locekļiem, paredzot, ka 1 studiju programmas licencēšanas vai 1 studiju virziena akreditācijas gadījumā komisijas loceklis strādā 5 stundas, bet komisijas priekšsēdētājs 7 stundas: 28 EUR stundā x 5 stundas x 1,2359 x 6 komisijas locekļi x 50 gadījumi (2015.g., 18 gadījumi 2016.g., 25 gadījumi 2017.g.) + 28 EUR stundā x 7 stundas x 1,2359 x 50 gadījumi (2015.g., 18 gadījumi 2016.g., 25 gadījumi 2017.g.) = 64019</w:t>
            </w:r>
            <w:r>
              <w:rPr>
                <w:rFonts w:ascii="Times New Roman" w:hAnsi="Times New Roman" w:cs="Times New Roman"/>
                <w:sz w:val="26"/>
                <w:szCs w:val="26"/>
              </w:rPr>
              <w:t xml:space="preserve"> </w:t>
            </w:r>
            <w:r w:rsidRPr="00F95550">
              <w:rPr>
                <w:rFonts w:ascii="Times New Roman" w:hAnsi="Times New Roman" w:cs="Times New Roman"/>
                <w:sz w:val="26"/>
                <w:szCs w:val="26"/>
              </w:rPr>
              <w:t>EUR (2015.g., 23047 EUR 2016.g., 32009 EUR 2017.g.)</w:t>
            </w:r>
            <w:proofErr w:type="gramStart"/>
            <w:r w:rsidRPr="00F95550">
              <w:rPr>
                <w:rFonts w:ascii="Times New Roman" w:hAnsi="Times New Roman" w:cs="Times New Roman"/>
                <w:sz w:val="26"/>
                <w:szCs w:val="26"/>
              </w:rPr>
              <w:t xml:space="preserve">  </w:t>
            </w:r>
            <w:proofErr w:type="gramEnd"/>
          </w:p>
          <w:p w:rsidR="002606F2" w:rsidRPr="000C0A97"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F95550">
              <w:rPr>
                <w:rFonts w:ascii="Times New Roman" w:hAnsi="Times New Roman" w:cs="Times New Roman"/>
                <w:sz w:val="26"/>
                <w:szCs w:val="26"/>
              </w:rPr>
              <w:t>Ekspertu apmācības: ik gadu paredzot organizēt 1 dienas apmācības 5 grupām, katrā 20 cilvēku, kopumā iesaistot 100 ekspertus – 50 akadēmiskā personāla pārstāvjus, 25 studentu un 25 darba devēju organizāciju pārstāvjus. Lektoru darba apmaksa: 200 EUR/dienā x</w:t>
            </w:r>
            <w:proofErr w:type="gramStart"/>
            <w:r w:rsidRPr="00F95550">
              <w:rPr>
                <w:rFonts w:ascii="Times New Roman" w:hAnsi="Times New Roman" w:cs="Times New Roman"/>
                <w:sz w:val="26"/>
                <w:szCs w:val="26"/>
              </w:rPr>
              <w:t xml:space="preserve">  </w:t>
            </w:r>
            <w:proofErr w:type="gramEnd"/>
            <w:r w:rsidRPr="00F95550">
              <w:rPr>
                <w:rFonts w:ascii="Times New Roman" w:hAnsi="Times New Roman" w:cs="Times New Roman"/>
                <w:sz w:val="26"/>
                <w:szCs w:val="26"/>
              </w:rPr>
              <w:t xml:space="preserve">1,2359 x 5 = 1235,9 EUR, semināra organizatoriskie izdevumi: materiāli 5 EUR x 100 dalībnieki = 500 EUR, pusdienas un kafijas pauzes: 100 dalībnieki un 4 pasniedzēji x 15 EUR = 1560 EUR, telpu īre 200 EUR x 5 dienas = 1000 EUR; kopā: </w:t>
            </w:r>
            <w:r>
              <w:rPr>
                <w:rFonts w:ascii="Times New Roman" w:hAnsi="Times New Roman"/>
                <w:sz w:val="26"/>
                <w:szCs w:val="26"/>
              </w:rPr>
              <w:t xml:space="preserve">4296 EUR/gadā. </w:t>
            </w:r>
          </w:p>
          <w:p w:rsidR="002606F2" w:rsidRPr="000C0A97" w:rsidRDefault="002606F2" w:rsidP="00B03E79">
            <w:pPr>
              <w:pStyle w:val="ListParagraph"/>
              <w:numPr>
                <w:ilvl w:val="0"/>
                <w:numId w:val="3"/>
              </w:numPr>
              <w:spacing w:after="0" w:line="240" w:lineRule="auto"/>
              <w:ind w:left="133" w:hanging="133"/>
              <w:jc w:val="both"/>
              <w:rPr>
                <w:rFonts w:ascii="Times New Roman" w:hAnsi="Times New Roman" w:cs="Times New Roman"/>
                <w:sz w:val="26"/>
                <w:szCs w:val="26"/>
              </w:rPr>
            </w:pPr>
            <w:r w:rsidRPr="00F95550">
              <w:rPr>
                <w:rFonts w:ascii="Times New Roman" w:hAnsi="Times New Roman"/>
                <w:sz w:val="26"/>
                <w:szCs w:val="26"/>
              </w:rPr>
              <w:t xml:space="preserve">Neparedzēti izdevumi, t.sk. apelācijas komisijas darba apmaksa. Tā kā nevar precīzi </w:t>
            </w:r>
            <w:r w:rsidRPr="00F95550">
              <w:rPr>
                <w:rFonts w:ascii="Times New Roman" w:hAnsi="Times New Roman"/>
                <w:sz w:val="26"/>
                <w:szCs w:val="26"/>
              </w:rPr>
              <w:lastRenderedPageBreak/>
              <w:t xml:space="preserve">prognozēt iespējamo apelācijas gadījumu skaitu, nav iespējams noteikt, cik lieli līdzekļi būs nepieciešami tās darba apmaksai. </w:t>
            </w:r>
            <w:r>
              <w:rPr>
                <w:rFonts w:ascii="Times New Roman" w:hAnsi="Times New Roman"/>
                <w:sz w:val="26"/>
                <w:szCs w:val="26"/>
              </w:rPr>
              <w:t>Neparedzēti izdevumi pašlaik ir plānoti 0,6-2,6% robežās no institūcijas kopējā gada budžeta. Jāņem vērā, ka aģentūras darbs lielā mērā atkarīgs no augstskolu iniciatīvas veidot jaunas studiju programmas, tās iesniegt licencēšanai, kā arī augstskolu darba kvalitātes, līdz ar to nav iespējams pilnīgi precīzi prognozēt budžetu, jo nevar prognozēt augstskolu rīcības.</w:t>
            </w:r>
          </w:p>
          <w:p w:rsidR="002606F2" w:rsidRPr="00F95550" w:rsidRDefault="002606F2" w:rsidP="00B03E79">
            <w:pPr>
              <w:pStyle w:val="ListParagraph"/>
              <w:numPr>
                <w:ilvl w:val="0"/>
                <w:numId w:val="3"/>
              </w:numPr>
              <w:spacing w:after="0" w:line="240" w:lineRule="auto"/>
              <w:ind w:left="133" w:firstLine="0"/>
              <w:jc w:val="both"/>
              <w:rPr>
                <w:rFonts w:ascii="Times New Roman" w:hAnsi="Times New Roman" w:cs="Times New Roman"/>
                <w:sz w:val="26"/>
                <w:szCs w:val="26"/>
              </w:rPr>
            </w:pPr>
            <w:r w:rsidRPr="00F95550">
              <w:rPr>
                <w:rFonts w:ascii="Times New Roman" w:hAnsi="Times New Roman" w:cs="Times New Roman"/>
                <w:sz w:val="26"/>
                <w:szCs w:val="26"/>
              </w:rPr>
              <w:t>Dalība starptautiskajās organizācijās:</w:t>
            </w:r>
          </w:p>
          <w:p w:rsidR="002606F2" w:rsidRPr="00F95550" w:rsidRDefault="002606F2" w:rsidP="00B03E79">
            <w:pPr>
              <w:pStyle w:val="ListParagraph"/>
              <w:numPr>
                <w:ilvl w:val="1"/>
                <w:numId w:val="3"/>
              </w:numPr>
              <w:spacing w:after="0" w:line="240" w:lineRule="auto"/>
              <w:ind w:left="1800"/>
              <w:jc w:val="both"/>
              <w:rPr>
                <w:rFonts w:ascii="Times New Roman" w:hAnsi="Times New Roman" w:cs="Times New Roman"/>
                <w:sz w:val="26"/>
                <w:szCs w:val="26"/>
              </w:rPr>
            </w:pPr>
            <w:r w:rsidRPr="00F95550">
              <w:rPr>
                <w:rFonts w:ascii="Times New Roman" w:hAnsi="Times New Roman" w:cs="Times New Roman"/>
                <w:sz w:val="26"/>
                <w:szCs w:val="26"/>
              </w:rPr>
              <w:t>ENQA: kandidātiem – 2 317 EUR gadā, pilntiesīgiem biedriem – 4 635 EUR;</w:t>
            </w:r>
          </w:p>
          <w:p w:rsidR="002606F2" w:rsidRPr="00F95550" w:rsidRDefault="002606F2" w:rsidP="00B03E79">
            <w:pPr>
              <w:pStyle w:val="ListParagraph"/>
              <w:spacing w:after="0" w:line="240" w:lineRule="auto"/>
              <w:ind w:left="1800"/>
              <w:jc w:val="both"/>
              <w:rPr>
                <w:rFonts w:ascii="Times New Roman" w:hAnsi="Times New Roman" w:cs="Times New Roman"/>
                <w:sz w:val="26"/>
                <w:szCs w:val="26"/>
              </w:rPr>
            </w:pPr>
            <w:r w:rsidRPr="00F95550">
              <w:rPr>
                <w:rFonts w:ascii="Times New Roman" w:hAnsi="Times New Roman" w:cs="Times New Roman"/>
                <w:sz w:val="26"/>
                <w:szCs w:val="26"/>
              </w:rPr>
              <w:t>Dalība ENQA semināros 2 x gadā – dalības maksa 250 EUR x 2 = 500 EUR.</w:t>
            </w:r>
          </w:p>
          <w:p w:rsidR="002606F2" w:rsidRPr="00F95550" w:rsidRDefault="002606F2" w:rsidP="00B03E79">
            <w:pPr>
              <w:pStyle w:val="ListParagraph"/>
              <w:spacing w:after="0" w:line="240" w:lineRule="auto"/>
              <w:ind w:left="1800"/>
              <w:jc w:val="both"/>
              <w:rPr>
                <w:rFonts w:ascii="Times New Roman" w:hAnsi="Times New Roman" w:cs="Times New Roman"/>
                <w:sz w:val="26"/>
                <w:szCs w:val="26"/>
              </w:rPr>
            </w:pPr>
            <w:proofErr w:type="gramStart"/>
            <w:r w:rsidRPr="00F95550">
              <w:rPr>
                <w:rFonts w:ascii="Times New Roman" w:hAnsi="Times New Roman" w:cs="Times New Roman"/>
                <w:sz w:val="26"/>
                <w:szCs w:val="26"/>
              </w:rPr>
              <w:t>Institūcijas izvērtēšana atbilstoši</w:t>
            </w:r>
            <w:proofErr w:type="gramEnd"/>
            <w:r w:rsidRPr="00F95550">
              <w:rPr>
                <w:rFonts w:ascii="Times New Roman" w:hAnsi="Times New Roman" w:cs="Times New Roman"/>
                <w:sz w:val="26"/>
                <w:szCs w:val="26"/>
              </w:rPr>
              <w:t xml:space="preserve"> ESG – vidēji 30 000 EUR.</w:t>
            </w:r>
          </w:p>
          <w:p w:rsidR="002606F2" w:rsidRPr="00F95550" w:rsidRDefault="002606F2" w:rsidP="00B03E79">
            <w:pPr>
              <w:pStyle w:val="ListParagraph"/>
              <w:numPr>
                <w:ilvl w:val="0"/>
                <w:numId w:val="4"/>
              </w:numPr>
              <w:spacing w:after="0" w:line="240" w:lineRule="auto"/>
              <w:jc w:val="both"/>
              <w:rPr>
                <w:rFonts w:ascii="Times New Roman" w:hAnsi="Times New Roman" w:cs="Times New Roman"/>
                <w:sz w:val="26"/>
                <w:szCs w:val="26"/>
              </w:rPr>
            </w:pPr>
            <w:r w:rsidRPr="00F95550">
              <w:rPr>
                <w:rFonts w:ascii="Times New Roman" w:hAnsi="Times New Roman" w:cs="Times New Roman"/>
                <w:sz w:val="26"/>
                <w:szCs w:val="26"/>
              </w:rPr>
              <w:t>EQAR: pieteikuma maksa – 1</w:t>
            </w:r>
            <w:proofErr w:type="gramStart"/>
            <w:r w:rsidRPr="00F95550">
              <w:rPr>
                <w:rFonts w:ascii="Times New Roman" w:hAnsi="Times New Roman" w:cs="Times New Roman"/>
                <w:sz w:val="26"/>
                <w:szCs w:val="26"/>
              </w:rPr>
              <w:t xml:space="preserve">  </w:t>
            </w:r>
            <w:proofErr w:type="gramEnd"/>
            <w:r w:rsidRPr="00F95550">
              <w:rPr>
                <w:rFonts w:ascii="Times New Roman" w:hAnsi="Times New Roman" w:cs="Times New Roman"/>
                <w:sz w:val="26"/>
                <w:szCs w:val="26"/>
              </w:rPr>
              <w:t>248, 72 EUR; ikgadējā dalības maksa – 1 248, 72 EUR.</w:t>
            </w:r>
          </w:p>
          <w:p w:rsidR="002606F2" w:rsidRPr="00F95550" w:rsidRDefault="002606F2" w:rsidP="00B03E79">
            <w:pPr>
              <w:pStyle w:val="ListParagraph"/>
              <w:numPr>
                <w:ilvl w:val="0"/>
                <w:numId w:val="5"/>
              </w:numPr>
              <w:spacing w:after="0" w:line="240" w:lineRule="auto"/>
              <w:ind w:left="133" w:hanging="133"/>
              <w:jc w:val="both"/>
              <w:rPr>
                <w:rFonts w:ascii="Times New Roman" w:hAnsi="Times New Roman" w:cs="Times New Roman"/>
                <w:sz w:val="26"/>
                <w:szCs w:val="26"/>
              </w:rPr>
            </w:pPr>
            <w:r w:rsidRPr="00F95550">
              <w:rPr>
                <w:rFonts w:ascii="Times New Roman" w:hAnsi="Times New Roman"/>
                <w:sz w:val="26"/>
                <w:szCs w:val="26"/>
              </w:rPr>
              <w:t>IKVD studiju virzienu reģistra uzturēšanai</w:t>
            </w:r>
            <w:r w:rsidRPr="00F95550">
              <w:t xml:space="preserve"> </w:t>
            </w:r>
            <w:r w:rsidRPr="00F95550">
              <w:rPr>
                <w:rFonts w:ascii="Times New Roman" w:hAnsi="Times New Roman"/>
                <w:sz w:val="26"/>
                <w:szCs w:val="26"/>
              </w:rPr>
              <w:t>IKVD studiju virzienu reģistra uzturēšanai nepieciešamā finansējuma detalizēts aprēķins, kas pamato pieprasīto līdzekļu apjomu: 5 amata vietas (IKVD amatu klasificēšanas rezultātu apkopojums, saskaņots Valsts kancelejā 2013.gada 15.jūlijā) ar atalgojuma apmēru 47399 EUR gadā, darba devēja VSAOI apmērs gadā 11181 EUR, atlīdzība kopā 58580 EUR gadā. Preču un pakalpojumu izmaksas: telpu noma un uzturēšana 7134 EUR gadā, sakaru pakalpojumi (pasta izdevumi, telekomunikāciju pakalpojumi) 1290 EUR gadā, kancelejas preces 256 EUR gadā. Kopā preces un pakalpojumi 8680 EUR gadā.</w:t>
            </w:r>
          </w:p>
          <w:p w:rsidR="00BE2F0B" w:rsidRDefault="00BE2F0B" w:rsidP="00B03E79">
            <w:pPr>
              <w:spacing w:after="0" w:line="240" w:lineRule="auto"/>
              <w:jc w:val="both"/>
              <w:rPr>
                <w:rFonts w:ascii="Times New Roman" w:eastAsia="Times New Roman" w:hAnsi="Times New Roman" w:cs="Times New Roman"/>
                <w:color w:val="000000"/>
                <w:sz w:val="26"/>
                <w:szCs w:val="26"/>
              </w:rPr>
            </w:pPr>
          </w:p>
          <w:p w:rsidR="00AD74EA" w:rsidRPr="00BE2F0B" w:rsidRDefault="00AD74EA" w:rsidP="00B03E79">
            <w:pPr>
              <w:spacing w:after="0" w:line="240" w:lineRule="auto"/>
              <w:jc w:val="both"/>
              <w:rPr>
                <w:rFonts w:ascii="Times New Roman" w:hAnsi="Times New Roman" w:cs="Times New Roman"/>
                <w:sz w:val="26"/>
                <w:szCs w:val="26"/>
              </w:rPr>
            </w:pPr>
          </w:p>
        </w:tc>
      </w:tr>
      <w:tr w:rsidR="00AD74EA" w:rsidRPr="005058FE" w:rsidTr="00787801">
        <w:trPr>
          <w:trHeight w:val="60"/>
        </w:trPr>
        <w:tc>
          <w:tcPr>
            <w:tcW w:w="1792" w:type="pct"/>
            <w:tcBorders>
              <w:top w:val="single" w:sz="6" w:space="0" w:color="000000"/>
              <w:left w:val="single" w:sz="6" w:space="0" w:color="000000"/>
              <w:bottom w:val="single" w:sz="6" w:space="0" w:color="000000"/>
              <w:right w:val="single" w:sz="6" w:space="0" w:color="000000"/>
            </w:tcBorders>
            <w:hideMark/>
          </w:tcPr>
          <w:p w:rsidR="00AD74EA" w:rsidRPr="005058FE" w:rsidRDefault="00AD74EA" w:rsidP="00B03E79">
            <w:pPr>
              <w:spacing w:before="100" w:beforeAutospacing="1" w:after="100" w:afterAutospacing="1"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Cita informācija</w:t>
            </w:r>
          </w:p>
        </w:tc>
        <w:tc>
          <w:tcPr>
            <w:tcW w:w="3208" w:type="pct"/>
            <w:gridSpan w:val="4"/>
            <w:tcBorders>
              <w:top w:val="single" w:sz="6" w:space="0" w:color="000000"/>
              <w:left w:val="single" w:sz="6" w:space="0" w:color="000000"/>
              <w:bottom w:val="single" w:sz="6" w:space="0" w:color="000000"/>
              <w:right w:val="single" w:sz="6" w:space="0" w:color="000000"/>
            </w:tcBorders>
          </w:tcPr>
          <w:p w:rsidR="00AD74EA" w:rsidRDefault="002606F2" w:rsidP="00B03E79">
            <w:pPr>
              <w:spacing w:after="0" w:line="240" w:lineRule="auto"/>
              <w:jc w:val="both"/>
              <w:rPr>
                <w:rFonts w:ascii="Times New Roman" w:hAnsi="Times New Roman" w:cs="Times New Roman"/>
                <w:sz w:val="26"/>
                <w:szCs w:val="26"/>
              </w:rPr>
            </w:pPr>
            <w:r w:rsidRPr="008C65D8">
              <w:rPr>
                <w:rFonts w:ascii="Times New Roman" w:hAnsi="Times New Roman" w:cs="Times New Roman"/>
                <w:sz w:val="26"/>
                <w:szCs w:val="26"/>
              </w:rPr>
              <w:t>2015.gada laikā provizoriski ti</w:t>
            </w:r>
            <w:r>
              <w:rPr>
                <w:rFonts w:ascii="Times New Roman" w:hAnsi="Times New Roman" w:cs="Times New Roman"/>
                <w:sz w:val="26"/>
                <w:szCs w:val="26"/>
              </w:rPr>
              <w:t xml:space="preserve">ek plānota 28 studiju virzienu </w:t>
            </w:r>
            <w:r w:rsidRPr="008C65D8">
              <w:rPr>
                <w:rFonts w:ascii="Times New Roman" w:hAnsi="Times New Roman" w:cs="Times New Roman"/>
                <w:sz w:val="26"/>
                <w:szCs w:val="26"/>
              </w:rPr>
              <w:t xml:space="preserve">akreditācija, kas saskaņā ar MK 2013.gada 3.septembra </w:t>
            </w:r>
            <w:r w:rsidRPr="008C65D8">
              <w:rPr>
                <w:rFonts w:ascii="Times New Roman" w:hAnsi="Times New Roman" w:cs="Times New Roman"/>
                <w:sz w:val="26"/>
                <w:szCs w:val="26"/>
              </w:rPr>
              <w:lastRenderedPageBreak/>
              <w:t xml:space="preserve">noteikumiem Nr. 721 “Izglītības un zinātnes ministrijas maksas pakalpojumu cenrādis” radītu </w:t>
            </w:r>
            <w:r>
              <w:rPr>
                <w:rFonts w:ascii="Times New Roman" w:hAnsi="Times New Roman" w:cs="Times New Roman"/>
                <w:sz w:val="26"/>
                <w:szCs w:val="26"/>
              </w:rPr>
              <w:t>institūcijai</w:t>
            </w:r>
            <w:r w:rsidRPr="008C65D8">
              <w:rPr>
                <w:rFonts w:ascii="Times New Roman" w:hAnsi="Times New Roman" w:cs="Times New Roman"/>
                <w:sz w:val="26"/>
                <w:szCs w:val="26"/>
              </w:rPr>
              <w:t xml:space="preserve"> ienākumus 115 4</w:t>
            </w:r>
            <w:r>
              <w:rPr>
                <w:rFonts w:ascii="Times New Roman" w:hAnsi="Times New Roman" w:cs="Times New Roman"/>
                <w:sz w:val="26"/>
                <w:szCs w:val="26"/>
              </w:rPr>
              <w:t>44</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(4123</w:t>
            </w:r>
            <w:r w:rsidRPr="008C65D8">
              <w:rPr>
                <w:rFonts w:ascii="Times New Roman" w:hAnsi="Times New Roman" w:cs="Times New Roman"/>
                <w:sz w:val="26"/>
                <w:szCs w:val="26"/>
              </w:rPr>
              <w:t>*28</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(summa par studiju virziena akreditāciju, kuram atbilst viena studiju programma)). Papildus 2015.gada laikā var prognozēt 20 studiju programmu licencēšanas gadījumus, kas radītu </w:t>
            </w:r>
            <w:r>
              <w:rPr>
                <w:rFonts w:ascii="Times New Roman" w:hAnsi="Times New Roman" w:cs="Times New Roman"/>
                <w:sz w:val="26"/>
                <w:szCs w:val="26"/>
              </w:rPr>
              <w:t>institūcijai ienākumus 14 500</w:t>
            </w:r>
            <w:r w:rsidRPr="008C65D8">
              <w:rPr>
                <w:rFonts w:ascii="Times New Roman" w:hAnsi="Times New Roman" w:cs="Times New Roman"/>
                <w:sz w:val="26"/>
                <w:szCs w:val="26"/>
              </w:rPr>
              <w:t xml:space="preserve"> EUR apmērā</w:t>
            </w:r>
            <w:r>
              <w:rPr>
                <w:rFonts w:ascii="Times New Roman" w:hAnsi="Times New Roman" w:cs="Times New Roman"/>
                <w:sz w:val="26"/>
                <w:szCs w:val="26"/>
              </w:rPr>
              <w:t xml:space="preserve"> (725</w:t>
            </w:r>
            <w:r w:rsidRPr="008C65D8">
              <w:rPr>
                <w:rFonts w:ascii="Times New Roman" w:hAnsi="Times New Roman" w:cs="Times New Roman"/>
                <w:sz w:val="26"/>
                <w:szCs w:val="26"/>
              </w:rPr>
              <w:t>*20)</w:t>
            </w:r>
            <w:r>
              <w:rPr>
                <w:rFonts w:ascii="Times New Roman" w:hAnsi="Times New Roman" w:cs="Times New Roman"/>
                <w:sz w:val="26"/>
                <w:szCs w:val="26"/>
              </w:rPr>
              <w:t xml:space="preserve">, kā arī 2 augstākās izglītības iestāžu akreditācija, kas dos ienākumus </w:t>
            </w:r>
            <w:r w:rsidRPr="00F95550">
              <w:rPr>
                <w:rFonts w:ascii="Times New Roman" w:hAnsi="Times New Roman"/>
                <w:sz w:val="26"/>
                <w:szCs w:val="26"/>
              </w:rPr>
              <w:t>11610 EUR</w:t>
            </w:r>
            <w:r>
              <w:rPr>
                <w:rFonts w:ascii="Times New Roman" w:hAnsi="Times New Roman" w:cs="Times New Roman"/>
                <w:sz w:val="26"/>
                <w:szCs w:val="26"/>
              </w:rPr>
              <w:t xml:space="preserve"> (</w:t>
            </w:r>
            <w:r w:rsidRPr="00DD4013">
              <w:rPr>
                <w:rFonts w:ascii="Times New Roman" w:hAnsi="Times New Roman"/>
                <w:sz w:val="26"/>
                <w:szCs w:val="26"/>
              </w:rPr>
              <w:t>5805</w:t>
            </w:r>
            <w:r>
              <w:rPr>
                <w:rFonts w:ascii="Times New Roman" w:hAnsi="Times New Roman"/>
                <w:sz w:val="26"/>
                <w:szCs w:val="26"/>
              </w:rPr>
              <w:t>*2)</w:t>
            </w:r>
            <w:r w:rsidRPr="008C65D8">
              <w:rPr>
                <w:rFonts w:ascii="Times New Roman" w:hAnsi="Times New Roman" w:cs="Times New Roman"/>
                <w:sz w:val="26"/>
                <w:szCs w:val="26"/>
              </w:rPr>
              <w:t xml:space="preserve">. Var secināt, ka kopējie </w:t>
            </w:r>
            <w:r>
              <w:rPr>
                <w:rFonts w:ascii="Times New Roman" w:hAnsi="Times New Roman" w:cs="Times New Roman"/>
                <w:sz w:val="26"/>
                <w:szCs w:val="26"/>
              </w:rPr>
              <w:t>institūcijas</w:t>
            </w:r>
            <w:r w:rsidRPr="008C65D8">
              <w:rPr>
                <w:rFonts w:ascii="Times New Roman" w:hAnsi="Times New Roman" w:cs="Times New Roman"/>
                <w:sz w:val="26"/>
                <w:szCs w:val="26"/>
              </w:rPr>
              <w:t xml:space="preserve"> ienākumi 2015.gada laikā būs </w:t>
            </w:r>
            <w:r>
              <w:rPr>
                <w:rFonts w:ascii="Times New Roman" w:hAnsi="Times New Roman" w:cs="Times New Roman"/>
                <w:sz w:val="26"/>
                <w:szCs w:val="26"/>
              </w:rPr>
              <w:t>141554</w:t>
            </w:r>
            <w:r w:rsidRPr="008C65D8">
              <w:rPr>
                <w:rFonts w:ascii="Times New Roman" w:hAnsi="Times New Roman" w:cs="Times New Roman"/>
                <w:sz w:val="26"/>
                <w:szCs w:val="26"/>
              </w:rPr>
              <w:t xml:space="preserve"> EUR, un šie līdzekļi tiks izlietoti akreditācijas vajadzību nodroš</w:t>
            </w:r>
            <w:r>
              <w:rPr>
                <w:rFonts w:ascii="Times New Roman" w:hAnsi="Times New Roman" w:cs="Times New Roman"/>
                <w:sz w:val="26"/>
                <w:szCs w:val="26"/>
              </w:rPr>
              <w:t xml:space="preserve">ināšanai, t.sk. ekspertu atalgojumam </w:t>
            </w:r>
            <w:r>
              <w:rPr>
                <w:rFonts w:ascii="Times New Roman" w:hAnsi="Times New Roman"/>
                <w:sz w:val="26"/>
                <w:szCs w:val="26"/>
              </w:rPr>
              <w:t>10623</w:t>
            </w:r>
            <w:r w:rsidRPr="00F95550">
              <w:rPr>
                <w:rFonts w:ascii="Times New Roman" w:hAnsi="Times New Roman"/>
                <w:sz w:val="26"/>
                <w:szCs w:val="26"/>
              </w:rPr>
              <w:t>2 EUR</w:t>
            </w:r>
            <w:r w:rsidRPr="008C65D8">
              <w:rPr>
                <w:rFonts w:ascii="Times New Roman" w:hAnsi="Times New Roman" w:cs="Times New Roman"/>
                <w:sz w:val="26"/>
                <w:szCs w:val="26"/>
              </w:rPr>
              <w:t>.</w:t>
            </w:r>
            <w:r>
              <w:rPr>
                <w:rFonts w:ascii="Times New Roman" w:hAnsi="Times New Roman" w:cs="Times New Roman"/>
                <w:sz w:val="26"/>
                <w:szCs w:val="26"/>
              </w:rPr>
              <w:t xml:space="preserve"> </w:t>
            </w:r>
            <w:r w:rsidRPr="008C65D8">
              <w:rPr>
                <w:rFonts w:ascii="Times New Roman" w:hAnsi="Times New Roman" w:cs="Times New Roman"/>
                <w:sz w:val="26"/>
                <w:szCs w:val="26"/>
              </w:rPr>
              <w:t xml:space="preserve"> </w:t>
            </w:r>
            <w:r w:rsidRPr="00F95550">
              <w:rPr>
                <w:rFonts w:ascii="Times New Roman" w:hAnsi="Times New Roman" w:cs="Times New Roman"/>
                <w:sz w:val="26"/>
                <w:szCs w:val="26"/>
              </w:rPr>
              <w:t>No ienākumiem 141 581 EUR apmērā institūcija var novirzīt darbības nodrošināšanai 3</w:t>
            </w:r>
            <w:r>
              <w:rPr>
                <w:rFonts w:ascii="Times New Roman" w:hAnsi="Times New Roman" w:cs="Times New Roman"/>
                <w:sz w:val="26"/>
                <w:szCs w:val="26"/>
              </w:rPr>
              <w:t>5322</w:t>
            </w:r>
            <w:r w:rsidRPr="00F95550">
              <w:rPr>
                <w:rFonts w:ascii="Times New Roman" w:hAnsi="Times New Roman" w:cs="Times New Roman"/>
                <w:sz w:val="26"/>
                <w:szCs w:val="26"/>
              </w:rPr>
              <w:t xml:space="preserve"> EUR. </w:t>
            </w:r>
            <w:r>
              <w:rPr>
                <w:rFonts w:ascii="Times New Roman" w:hAnsi="Times New Roman" w:cs="Times New Roman"/>
                <w:sz w:val="26"/>
                <w:szCs w:val="26"/>
              </w:rPr>
              <w:t>Turpmākajiem gadiem ienākumi ir aplēsti, ņemot vērā, ka 2016. un 2017.gadā ir prognozējami 3 studiju virzienu a</w:t>
            </w:r>
            <w:r w:rsidRPr="008C65D8">
              <w:rPr>
                <w:rFonts w:ascii="Times New Roman" w:hAnsi="Times New Roman" w:cs="Times New Roman"/>
                <w:sz w:val="26"/>
                <w:szCs w:val="26"/>
              </w:rPr>
              <w:t>kreditācijas un</w:t>
            </w:r>
            <w:r>
              <w:rPr>
                <w:rFonts w:ascii="Times New Roman" w:hAnsi="Times New Roman" w:cs="Times New Roman"/>
                <w:sz w:val="26"/>
                <w:szCs w:val="26"/>
              </w:rPr>
              <w:t xml:space="preserve"> 15 studiju licencēšanas gadījumi. T.i., </w:t>
            </w:r>
            <w:r w:rsidRPr="00F95550">
              <w:rPr>
                <w:rFonts w:ascii="Times New Roman" w:hAnsi="Times New Roman" w:cs="Times New Roman"/>
                <w:sz w:val="26"/>
                <w:szCs w:val="26"/>
              </w:rPr>
              <w:t>2 nākamajos gados sakarā ar mazāku akreditācijas gadījumu skaitu, ieņēmumi samazināsies</w:t>
            </w:r>
            <w:proofErr w:type="gramStart"/>
            <w:r w:rsidRPr="00F95550">
              <w:rPr>
                <w:rFonts w:ascii="Times New Roman" w:hAnsi="Times New Roman" w:cs="Times New Roman"/>
                <w:sz w:val="26"/>
                <w:szCs w:val="26"/>
              </w:rPr>
              <w:t xml:space="preserve"> un</w:t>
            </w:r>
            <w:proofErr w:type="gramEnd"/>
            <w:r w:rsidRPr="00F95550">
              <w:rPr>
                <w:rFonts w:ascii="Times New Roman" w:hAnsi="Times New Roman" w:cs="Times New Roman"/>
                <w:sz w:val="26"/>
                <w:szCs w:val="26"/>
              </w:rPr>
              <w:t xml:space="preserve"> institūcijas darbībai ir neizbēgams pārtraukums, darbinieku </w:t>
            </w:r>
            <w:r>
              <w:rPr>
                <w:rFonts w:ascii="Times New Roman" w:hAnsi="Times New Roman" w:cs="Times New Roman"/>
                <w:sz w:val="26"/>
                <w:szCs w:val="26"/>
              </w:rPr>
              <w:t>atlaišana un līdz šim veikto investīciju zaudēšana</w:t>
            </w:r>
            <w:r w:rsidRPr="00F95550">
              <w:rPr>
                <w:rFonts w:ascii="Times New Roman" w:hAnsi="Times New Roman" w:cs="Times New Roman"/>
                <w:sz w:val="26"/>
                <w:szCs w:val="26"/>
              </w:rPr>
              <w:t>. Šāda nestabilitāte ir fundamentāls apdraudējums visai augstākās izglītības ārējās kvalitātes nodrošināšanas sistēmas pastāvēšanai Latvijā.</w:t>
            </w:r>
          </w:p>
          <w:p w:rsidR="0069014C" w:rsidRPr="00F84EAD" w:rsidRDefault="0069014C" w:rsidP="00B03E79">
            <w:pPr>
              <w:spacing w:after="0" w:line="240" w:lineRule="auto"/>
              <w:jc w:val="both"/>
              <w:rPr>
                <w:rFonts w:ascii="Times New Roman" w:eastAsia="Times New Roman" w:hAnsi="Times New Roman" w:cs="Times New Roman"/>
                <w:color w:val="000000" w:themeColor="text1"/>
                <w:sz w:val="24"/>
                <w:szCs w:val="24"/>
              </w:rPr>
            </w:pPr>
            <w:r w:rsidRPr="00CD6294">
              <w:rPr>
                <w:rFonts w:ascii="Times New Roman" w:eastAsia="Times New Roman" w:hAnsi="Times New Roman" w:cs="Times New Roman"/>
                <w:color w:val="000000"/>
                <w:sz w:val="26"/>
                <w:szCs w:val="26"/>
              </w:rPr>
              <w:t xml:space="preserve">Eiropas Savienības struktūrfondu </w:t>
            </w:r>
            <w:r>
              <w:rPr>
                <w:rFonts w:ascii="Times New Roman" w:eastAsia="Times New Roman" w:hAnsi="Times New Roman" w:cs="Times New Roman"/>
                <w:color w:val="000000"/>
                <w:sz w:val="26"/>
                <w:szCs w:val="26"/>
              </w:rPr>
              <w:t>plānošanas periodā 2014.-2020.gadam specifiskā atbalsta mērķa 8.2.4 „</w:t>
            </w:r>
            <w:r w:rsidRPr="00706847">
              <w:rPr>
                <w:rFonts w:ascii="Times New Roman" w:eastAsia="Times New Roman" w:hAnsi="Times New Roman" w:cs="Times New Roman"/>
                <w:color w:val="000000"/>
                <w:sz w:val="26"/>
                <w:szCs w:val="26"/>
              </w:rPr>
              <w:t xml:space="preserve">Nodrošināt atbalstu EQAR aģentūrai izvirzīto prasību izpildei” ietvaros </w:t>
            </w:r>
            <w:r w:rsidRPr="00CD6294">
              <w:rPr>
                <w:rFonts w:ascii="Times New Roman" w:eastAsia="Times New Roman" w:hAnsi="Times New Roman" w:cs="Times New Roman"/>
                <w:color w:val="000000"/>
                <w:sz w:val="26"/>
                <w:szCs w:val="26"/>
              </w:rPr>
              <w:t>paredzēts finansējum</w:t>
            </w:r>
            <w:r>
              <w:rPr>
                <w:rFonts w:ascii="Times New Roman" w:eastAsia="Times New Roman" w:hAnsi="Times New Roman" w:cs="Times New Roman"/>
                <w:color w:val="000000"/>
                <w:sz w:val="26"/>
                <w:szCs w:val="26"/>
              </w:rPr>
              <w:t>s</w:t>
            </w:r>
            <w:r w:rsidRPr="00CD6294">
              <w:rPr>
                <w:rFonts w:ascii="Times New Roman" w:hAnsi="Times New Roman" w:cs="Times New Roman"/>
                <w:sz w:val="26"/>
                <w:szCs w:val="26"/>
              </w:rPr>
              <w:t xml:space="preserve"> nacionālās augstākās izglītības kvalitātes nodrošināšanas aģentūras sākotnējās darbības kvalitātes atbalsta pasākumiem un kapacitātes stiprināšanai</w:t>
            </w:r>
            <w:r>
              <w:rPr>
                <w:rFonts w:ascii="Times New Roman" w:hAnsi="Times New Roman" w:cs="Times New Roman"/>
                <w:sz w:val="26"/>
                <w:szCs w:val="26"/>
              </w:rPr>
              <w:t xml:space="preserve"> </w:t>
            </w:r>
            <w:r w:rsidRPr="00CD6294">
              <w:rPr>
                <w:rFonts w:ascii="Times New Roman" w:hAnsi="Times New Roman" w:cs="Times New Roman"/>
                <w:sz w:val="26"/>
                <w:szCs w:val="26"/>
              </w:rPr>
              <w:t>1 500 000 EUR apmērā (</w:t>
            </w:r>
            <w:r w:rsidRPr="00CD6294">
              <w:rPr>
                <w:rFonts w:ascii="Times New Roman" w:eastAsia="Times New Roman" w:hAnsi="Times New Roman" w:cs="Times New Roman"/>
                <w:color w:val="000000"/>
                <w:sz w:val="26"/>
                <w:szCs w:val="26"/>
              </w:rPr>
              <w:t>Eiropas Sociālā fonda</w:t>
            </w:r>
            <w:r w:rsidRPr="00CD6294">
              <w:rPr>
                <w:rFonts w:ascii="Times New Roman" w:hAnsi="Times New Roman" w:cs="Times New Roman"/>
                <w:sz w:val="26"/>
                <w:szCs w:val="26"/>
              </w:rPr>
              <w:t xml:space="preserve"> </w:t>
            </w:r>
            <w:r>
              <w:rPr>
                <w:rFonts w:ascii="Times New Roman" w:hAnsi="Times New Roman" w:cs="Times New Roman"/>
                <w:sz w:val="26"/>
                <w:szCs w:val="26"/>
              </w:rPr>
              <w:t>līdz</w:t>
            </w:r>
            <w:r w:rsidRPr="00CD6294">
              <w:rPr>
                <w:rFonts w:ascii="Times New Roman" w:hAnsi="Times New Roman" w:cs="Times New Roman"/>
                <w:sz w:val="26"/>
                <w:szCs w:val="26"/>
              </w:rPr>
              <w:t>finansējums 1 275 000 EUR</w:t>
            </w:r>
            <w:r>
              <w:rPr>
                <w:rFonts w:ascii="Times New Roman" w:hAnsi="Times New Roman" w:cs="Times New Roman"/>
                <w:sz w:val="26"/>
                <w:szCs w:val="26"/>
              </w:rPr>
              <w:t>, valsts budžeta finansējums 225 000 EUR</w:t>
            </w:r>
            <w:r w:rsidRPr="00CD6294">
              <w:rPr>
                <w:rFonts w:ascii="Times New Roman" w:hAnsi="Times New Roman" w:cs="Times New Roman"/>
                <w:sz w:val="26"/>
                <w:szCs w:val="26"/>
              </w:rPr>
              <w:t>)</w:t>
            </w:r>
            <w:r>
              <w:rPr>
                <w:rFonts w:ascii="Times New Roman" w:hAnsi="Times New Roman" w:cs="Times New Roman"/>
                <w:sz w:val="26"/>
                <w:szCs w:val="26"/>
              </w:rPr>
              <w:t xml:space="preserve">. </w:t>
            </w:r>
            <w:r w:rsidRPr="00CD6294">
              <w:rPr>
                <w:rFonts w:ascii="Times New Roman" w:hAnsi="Times New Roman" w:cs="Times New Roman"/>
                <w:sz w:val="26"/>
                <w:szCs w:val="26"/>
              </w:rPr>
              <w:t xml:space="preserve">Projektu </w:t>
            </w:r>
            <w:r w:rsidRPr="00CD6294">
              <w:rPr>
                <w:rFonts w:ascii="Times New Roman" w:hAnsi="Times New Roman"/>
                <w:sz w:val="26"/>
                <w:szCs w:val="26"/>
              </w:rPr>
              <w:t>atlasi plānots uzsākt 2015.gad</w:t>
            </w:r>
            <w:r>
              <w:rPr>
                <w:rFonts w:ascii="Times New Roman" w:hAnsi="Times New Roman"/>
                <w:sz w:val="26"/>
                <w:szCs w:val="26"/>
              </w:rPr>
              <w:t>ā</w:t>
            </w:r>
            <w:r w:rsidRPr="00CD6294">
              <w:rPr>
                <w:rFonts w:ascii="Times New Roman" w:hAnsi="Times New Roman"/>
                <w:sz w:val="26"/>
                <w:szCs w:val="26"/>
              </w:rPr>
              <w:t>, lai nodrošinātu ESF finansējuma pieejamību 2016.gadā. Plānotais projekt</w:t>
            </w:r>
            <w:r>
              <w:rPr>
                <w:rFonts w:ascii="Times New Roman" w:hAnsi="Times New Roman"/>
                <w:sz w:val="26"/>
                <w:szCs w:val="26"/>
              </w:rPr>
              <w:t>a</w:t>
            </w:r>
            <w:r w:rsidRPr="00CD6294">
              <w:rPr>
                <w:rFonts w:ascii="Times New Roman" w:hAnsi="Times New Roman"/>
                <w:sz w:val="26"/>
                <w:szCs w:val="26"/>
              </w:rPr>
              <w:t xml:space="preserve"> ilgums aptuveni 3-3,5 gadi</w:t>
            </w:r>
            <w:r>
              <w:rPr>
                <w:rFonts w:ascii="Times New Roman" w:hAnsi="Times New Roman"/>
                <w:sz w:val="26"/>
                <w:szCs w:val="26"/>
              </w:rPr>
              <w:t>.</w:t>
            </w:r>
          </w:p>
        </w:tc>
      </w:tr>
      <w:tr w:rsidR="00AD74EA" w:rsidRPr="00D13E7A" w:rsidTr="00787801">
        <w:tblPrEx>
          <w:tblCellMar>
            <w:left w:w="15" w:type="dxa"/>
            <w:right w:w="15" w:type="dxa"/>
          </w:tblCellMar>
        </w:tblPrEx>
        <w:trPr>
          <w:gridBefore w:val="2"/>
          <w:wBefore w:w="2177" w:type="pct"/>
          <w:trHeight w:val="60"/>
        </w:trPr>
        <w:tc>
          <w:tcPr>
            <w:tcW w:w="2085" w:type="pct"/>
            <w:gridSpan w:val="2"/>
            <w:tcBorders>
              <w:top w:val="single" w:sz="6" w:space="0" w:color="000000"/>
              <w:left w:val="single" w:sz="6" w:space="0" w:color="000000"/>
              <w:bottom w:val="single" w:sz="6" w:space="0" w:color="000000"/>
              <w:right w:val="single" w:sz="6" w:space="0" w:color="000000"/>
            </w:tcBorders>
            <w:hideMark/>
          </w:tcPr>
          <w:p w:rsidR="00AD74EA" w:rsidRPr="00D13E7A" w:rsidRDefault="00AD74EA" w:rsidP="00B03E79">
            <w:pPr>
              <w:spacing w:after="0" w:line="60" w:lineRule="atLeast"/>
              <w:rPr>
                <w:rFonts w:ascii="Times New Roman" w:eastAsia="Times New Roman" w:hAnsi="Times New Roman" w:cs="Times New Roman"/>
                <w:sz w:val="24"/>
                <w:szCs w:val="24"/>
              </w:rPr>
            </w:pPr>
            <w:r w:rsidRPr="005058FE">
              <w:rPr>
                <w:rFonts w:ascii="Times New Roman" w:eastAsia="Times New Roman" w:hAnsi="Times New Roman" w:cs="Times New Roman"/>
                <w:sz w:val="24"/>
                <w:szCs w:val="24"/>
              </w:rPr>
              <w:lastRenderedPageBreak/>
              <w:t xml:space="preserve">Izmaiņas budžeta izdevumos no </w:t>
            </w:r>
            <w:r w:rsidRPr="00D13E7A">
              <w:rPr>
                <w:rFonts w:ascii="Times New Roman" w:eastAsia="Times New Roman" w:hAnsi="Times New Roman" w:cs="Times New Roman"/>
                <w:sz w:val="24"/>
                <w:szCs w:val="24"/>
              </w:rPr>
              <w:t>2017.g</w:t>
            </w:r>
            <w:r>
              <w:rPr>
                <w:rFonts w:ascii="Times New Roman" w:eastAsia="Times New Roman" w:hAnsi="Times New Roman" w:cs="Times New Roman"/>
                <w:sz w:val="24"/>
                <w:szCs w:val="24"/>
              </w:rPr>
              <w:t>ada</w:t>
            </w:r>
            <w:r w:rsidRPr="005058FE">
              <w:rPr>
                <w:rFonts w:ascii="Times New Roman" w:eastAsia="Times New Roman" w:hAnsi="Times New Roman" w:cs="Times New Roman"/>
                <w:sz w:val="24"/>
                <w:szCs w:val="24"/>
              </w:rPr>
              <w:t xml:space="preserve"> līdz </w:t>
            </w:r>
            <w:proofErr w:type="gramStart"/>
            <w:r w:rsidRPr="00D13E7A">
              <w:rPr>
                <w:rFonts w:ascii="Times New Roman" w:eastAsia="Times New Roman" w:hAnsi="Times New Roman" w:cs="Times New Roman"/>
                <w:sz w:val="24"/>
                <w:szCs w:val="24"/>
              </w:rPr>
              <w:t>2020</w:t>
            </w:r>
            <w:r w:rsidRPr="005058FE">
              <w:rPr>
                <w:rFonts w:ascii="Times New Roman" w:eastAsia="Times New Roman" w:hAnsi="Times New Roman" w:cs="Times New Roman"/>
                <w:sz w:val="24"/>
                <w:szCs w:val="24"/>
              </w:rPr>
              <w:t xml:space="preserve"> g</w:t>
            </w:r>
            <w:r>
              <w:rPr>
                <w:rFonts w:ascii="Times New Roman" w:eastAsia="Times New Roman" w:hAnsi="Times New Roman" w:cs="Times New Roman"/>
                <w:sz w:val="24"/>
                <w:szCs w:val="24"/>
              </w:rPr>
              <w:t>adam</w:t>
            </w:r>
            <w:proofErr w:type="gramEnd"/>
            <w:r w:rsidRPr="005058FE">
              <w:rPr>
                <w:rFonts w:ascii="Times New Roman" w:eastAsia="Times New Roman" w:hAnsi="Times New Roman" w:cs="Times New Roman"/>
                <w:sz w:val="24"/>
                <w:szCs w:val="24"/>
              </w:rPr>
              <w:t>*</w:t>
            </w:r>
          </w:p>
        </w:tc>
        <w:tc>
          <w:tcPr>
            <w:tcW w:w="739" w:type="pct"/>
            <w:tcBorders>
              <w:top w:val="single" w:sz="6" w:space="0" w:color="000000"/>
              <w:left w:val="single" w:sz="6" w:space="0" w:color="000000"/>
              <w:bottom w:val="single" w:sz="6" w:space="0" w:color="000000"/>
              <w:right w:val="single" w:sz="6" w:space="0" w:color="000000"/>
            </w:tcBorders>
            <w:vAlign w:val="center"/>
          </w:tcPr>
          <w:p w:rsidR="00AD74EA" w:rsidRPr="005B3D4D" w:rsidRDefault="002606F2" w:rsidP="00B03E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Laika posmā 2017.-2020.gads aģentūras darbam būs nepieciešams valsts budžeta finansējums iepriekšējā apmērā, bet pēc 2020.g. nepieciešamā valsts budžeta finansējuma </w:t>
            </w:r>
            <w:r>
              <w:rPr>
                <w:rFonts w:ascii="Times New Roman" w:hAnsi="Times New Roman" w:cs="Times New Roman"/>
                <w:sz w:val="24"/>
                <w:szCs w:val="24"/>
              </w:rPr>
              <w:lastRenderedPageBreak/>
              <w:t xml:space="preserve">apjoms pakāpeniski samazināsies, paredzot ieņēmumu palielināšanos, aģentūrai iegūstot starptautisku atpazīstamību, iekļaujoties ENQA un EQAR un veiksmīgi īstenojot ārējās kvalitātes nodrošināšanas pakalpojumu ārzemēs. </w:t>
            </w:r>
          </w:p>
        </w:tc>
      </w:tr>
    </w:tbl>
    <w:p w:rsidR="0049272D" w:rsidRDefault="00B03E79" w:rsidP="00DC6C8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textWrapping" w:clear="all"/>
      </w:r>
      <w:r w:rsidR="0049272D" w:rsidRPr="005058FE">
        <w:rPr>
          <w:rFonts w:ascii="Times New Roman" w:eastAsia="Times New Roman" w:hAnsi="Times New Roman" w:cs="Times New Roman"/>
          <w:sz w:val="24"/>
          <w:szCs w:val="24"/>
        </w:rPr>
        <w:t>Piezīme. *</w:t>
      </w:r>
      <w:r w:rsidR="00DC6C86" w:rsidRPr="005058FE">
        <w:rPr>
          <w:rFonts w:ascii="Times New Roman" w:eastAsia="Times New Roman" w:hAnsi="Times New Roman" w:cs="Times New Roman"/>
          <w:sz w:val="24"/>
          <w:szCs w:val="24"/>
        </w:rPr>
        <w:t>Šim periodam norādāms indikatīvs līd</w:t>
      </w:r>
      <w:r w:rsidR="00DC6C86">
        <w:rPr>
          <w:rFonts w:ascii="Times New Roman" w:eastAsia="Times New Roman" w:hAnsi="Times New Roman" w:cs="Times New Roman"/>
          <w:sz w:val="24"/>
          <w:szCs w:val="24"/>
        </w:rPr>
        <w:t xml:space="preserve">zekļu apjoms, atsevišķi norādot </w:t>
      </w:r>
      <w:r w:rsidR="00DC6C86" w:rsidRPr="005058FE">
        <w:rPr>
          <w:rFonts w:ascii="Times New Roman" w:eastAsia="Times New Roman" w:hAnsi="Times New Roman" w:cs="Times New Roman"/>
          <w:sz w:val="24"/>
          <w:szCs w:val="24"/>
        </w:rPr>
        <w:t>valsts un pašvaldību budžetus.</w:t>
      </w:r>
    </w:p>
    <w:p w:rsidR="005B3D4D" w:rsidRDefault="005B3D4D" w:rsidP="005B3D4D">
      <w:pPr>
        <w:spacing w:after="0" w:line="240" w:lineRule="auto"/>
        <w:jc w:val="center"/>
        <w:rPr>
          <w:rFonts w:ascii="Times New Roman" w:hAnsi="Times New Roman" w:cs="Times New Roman"/>
          <w:b/>
          <w:sz w:val="24"/>
          <w:szCs w:val="24"/>
        </w:rPr>
      </w:pPr>
      <w:bookmarkStart w:id="3" w:name="313131"/>
      <w:bookmarkEnd w:id="3"/>
    </w:p>
    <w:p w:rsidR="005B3D4D" w:rsidRPr="005B3D4D" w:rsidRDefault="005B3D4D" w:rsidP="005B3D4D">
      <w:pPr>
        <w:spacing w:after="0" w:line="240" w:lineRule="auto"/>
        <w:jc w:val="center"/>
        <w:rPr>
          <w:rFonts w:ascii="Times New Roman" w:hAnsi="Times New Roman" w:cs="Times New Roman"/>
          <w:b/>
          <w:sz w:val="24"/>
          <w:szCs w:val="24"/>
        </w:rPr>
      </w:pPr>
      <w:r w:rsidRPr="005B3D4D">
        <w:rPr>
          <w:rFonts w:ascii="Times New Roman" w:hAnsi="Times New Roman" w:cs="Times New Roman"/>
          <w:b/>
          <w:sz w:val="24"/>
          <w:szCs w:val="24"/>
        </w:rPr>
        <w:t>Mērķu un rezultātu, to rezultatīvo rādītāju hierarhija</w:t>
      </w:r>
    </w:p>
    <w:p w:rsidR="005B3D4D" w:rsidRPr="00D13E7A" w:rsidRDefault="005B3D4D" w:rsidP="005B3D4D">
      <w:pPr>
        <w:spacing w:after="0" w:line="240" w:lineRule="auto"/>
        <w:jc w:val="both"/>
        <w:rPr>
          <w:rFonts w:ascii="Times New Roman" w:hAnsi="Times New Roman" w:cs="Times New Roman"/>
        </w:rPr>
      </w:pPr>
    </w:p>
    <w:tbl>
      <w:tblPr>
        <w:tblW w:w="5140" w:type="pct"/>
        <w:tblInd w:w="-12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70"/>
        <w:gridCol w:w="3142"/>
        <w:gridCol w:w="1272"/>
        <w:gridCol w:w="1272"/>
        <w:gridCol w:w="1400"/>
      </w:tblGrid>
      <w:tr w:rsidR="005B3D4D" w:rsidRPr="005B3D4D" w:rsidTr="00E80631">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B3B3B3"/>
            <w:vAlign w:val="center"/>
            <w:hideMark/>
          </w:tcPr>
          <w:p w:rsidR="005B3D4D" w:rsidRPr="005B3D4D" w:rsidRDefault="005B3D4D" w:rsidP="005B3D4D">
            <w:pPr>
              <w:spacing w:after="0" w:line="240" w:lineRule="auto"/>
              <w:jc w:val="center"/>
              <w:rPr>
                <w:rFonts w:ascii="Times New Roman" w:hAnsi="Times New Roman" w:cs="Times New Roman"/>
                <w:b/>
                <w:sz w:val="24"/>
                <w:szCs w:val="24"/>
              </w:rPr>
            </w:pPr>
            <w:r w:rsidRPr="005B3D4D">
              <w:rPr>
                <w:rFonts w:ascii="Times New Roman" w:hAnsi="Times New Roman" w:cs="Times New Roman"/>
                <w:b/>
                <w:sz w:val="24"/>
                <w:szCs w:val="24"/>
              </w:rPr>
              <w:t>Politikas definētais mērķis/ apakšmērķis</w:t>
            </w:r>
          </w:p>
        </w:tc>
        <w:tc>
          <w:tcPr>
            <w:tcW w:w="3787" w:type="pct"/>
            <w:gridSpan w:val="4"/>
            <w:tcBorders>
              <w:top w:val="single" w:sz="6" w:space="0" w:color="auto"/>
              <w:left w:val="single" w:sz="6" w:space="0" w:color="auto"/>
              <w:bottom w:val="single" w:sz="6" w:space="0" w:color="auto"/>
              <w:right w:val="single" w:sz="6" w:space="0" w:color="auto"/>
            </w:tcBorders>
            <w:shd w:val="clear" w:color="auto" w:fill="B3B3B3"/>
            <w:vAlign w:val="center"/>
            <w:hideMark/>
          </w:tcPr>
          <w:p w:rsidR="005B3D4D" w:rsidRPr="005B3D4D" w:rsidRDefault="00AD7DC3" w:rsidP="005B3D4D">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color w:val="000000"/>
              </w:rPr>
              <w:t>Izglītības attīstības pamatnostādnēs 2014.-2020.gadam definētais mērķis “Uzlabot resursu pārvaldības efektivitāti, attīstot izglītības iestāžu institucionālo izcilību</w:t>
            </w:r>
          </w:p>
        </w:tc>
      </w:tr>
      <w:tr w:rsidR="00E80631" w:rsidRPr="005B3D4D" w:rsidTr="00E80631">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E0E0E0"/>
            <w:hideMark/>
          </w:tcPr>
          <w:p w:rsidR="00E80631" w:rsidRPr="005B3D4D" w:rsidRDefault="00E80631" w:rsidP="00E80631">
            <w:pPr>
              <w:spacing w:after="0" w:line="240" w:lineRule="auto"/>
              <w:jc w:val="center"/>
              <w:rPr>
                <w:rFonts w:ascii="Times New Roman" w:hAnsi="Times New Roman" w:cs="Times New Roman"/>
                <w:sz w:val="24"/>
                <w:szCs w:val="24"/>
              </w:rPr>
            </w:pPr>
            <w:r w:rsidRPr="005B3D4D">
              <w:rPr>
                <w:rFonts w:ascii="Times New Roman" w:hAnsi="Times New Roman" w:cs="Times New Roman"/>
                <w:sz w:val="24"/>
                <w:szCs w:val="24"/>
              </w:rPr>
              <w:t>Darbības rezultāts</w:t>
            </w:r>
          </w:p>
        </w:tc>
        <w:tc>
          <w:tcPr>
            <w:tcW w:w="1679" w:type="pct"/>
            <w:tcBorders>
              <w:top w:val="single" w:sz="6" w:space="0" w:color="auto"/>
              <w:left w:val="single" w:sz="6" w:space="0" w:color="auto"/>
              <w:bottom w:val="single" w:sz="6" w:space="0" w:color="auto"/>
              <w:right w:val="single" w:sz="6" w:space="0" w:color="auto"/>
            </w:tcBorders>
            <w:shd w:val="clear" w:color="auto" w:fill="E0E0E0"/>
            <w:hideMark/>
          </w:tcPr>
          <w:p w:rsidR="00E80631" w:rsidRPr="005B3D4D" w:rsidRDefault="00E80631" w:rsidP="00E80631">
            <w:pPr>
              <w:spacing w:after="0" w:line="240" w:lineRule="auto"/>
              <w:jc w:val="center"/>
              <w:rPr>
                <w:rFonts w:ascii="Times New Roman" w:hAnsi="Times New Roman" w:cs="Times New Roman"/>
                <w:sz w:val="24"/>
                <w:szCs w:val="24"/>
              </w:rPr>
            </w:pPr>
            <w:r w:rsidRPr="005B3D4D">
              <w:rPr>
                <w:rFonts w:ascii="Times New Roman" w:hAnsi="Times New Roman" w:cs="Times New Roman"/>
                <w:sz w:val="24"/>
                <w:szCs w:val="24"/>
              </w:rPr>
              <w:t>Rezultatīvais rādītājs</w:t>
            </w:r>
          </w:p>
        </w:tc>
        <w:tc>
          <w:tcPr>
            <w:tcW w:w="680" w:type="pct"/>
            <w:tcBorders>
              <w:top w:val="single" w:sz="6" w:space="0" w:color="auto"/>
              <w:left w:val="single" w:sz="6" w:space="0" w:color="auto"/>
              <w:bottom w:val="single" w:sz="6" w:space="0" w:color="auto"/>
              <w:right w:val="single" w:sz="6" w:space="0" w:color="auto"/>
            </w:tcBorders>
            <w:shd w:val="clear" w:color="auto" w:fill="E0E0E0"/>
            <w:vAlign w:val="center"/>
            <w:hideMark/>
          </w:tcPr>
          <w:p w:rsidR="00E80631" w:rsidRPr="00E80631" w:rsidRDefault="00E80631" w:rsidP="00C5137B">
            <w:pPr>
              <w:spacing w:after="0" w:line="240" w:lineRule="auto"/>
              <w:jc w:val="center"/>
              <w:rPr>
                <w:rFonts w:ascii="Times New Roman" w:eastAsia="Times New Roman" w:hAnsi="Times New Roman" w:cs="Times New Roman"/>
                <w:bCs/>
                <w:color w:val="000000"/>
              </w:rPr>
            </w:pPr>
            <w:r w:rsidRPr="00E80631">
              <w:rPr>
                <w:rFonts w:ascii="Times New Roman" w:eastAsia="Times New Roman" w:hAnsi="Times New Roman" w:cs="Times New Roman"/>
                <w:bCs/>
                <w:color w:val="000000"/>
              </w:rPr>
              <w:t>201</w:t>
            </w:r>
            <w:r w:rsidR="00C5137B">
              <w:rPr>
                <w:rFonts w:ascii="Times New Roman" w:eastAsia="Times New Roman" w:hAnsi="Times New Roman" w:cs="Times New Roman"/>
                <w:bCs/>
                <w:color w:val="000000"/>
              </w:rPr>
              <w:t>5</w:t>
            </w:r>
            <w:r w:rsidRPr="00E80631">
              <w:rPr>
                <w:rFonts w:ascii="Times New Roman" w:eastAsia="Times New Roman" w:hAnsi="Times New Roman" w:cs="Times New Roman"/>
                <w:bCs/>
                <w:color w:val="000000"/>
              </w:rPr>
              <w:t>.gads</w:t>
            </w:r>
          </w:p>
        </w:tc>
        <w:tc>
          <w:tcPr>
            <w:tcW w:w="680" w:type="pct"/>
            <w:tcBorders>
              <w:top w:val="single" w:sz="6" w:space="0" w:color="auto"/>
              <w:left w:val="single" w:sz="6" w:space="0" w:color="auto"/>
              <w:bottom w:val="single" w:sz="6" w:space="0" w:color="auto"/>
              <w:right w:val="single" w:sz="6" w:space="0" w:color="auto"/>
            </w:tcBorders>
            <w:shd w:val="clear" w:color="auto" w:fill="E0E0E0"/>
            <w:vAlign w:val="center"/>
            <w:hideMark/>
          </w:tcPr>
          <w:p w:rsidR="00E80631" w:rsidRPr="00E80631" w:rsidRDefault="00E80631" w:rsidP="00C5137B">
            <w:pPr>
              <w:spacing w:after="0" w:line="240" w:lineRule="auto"/>
              <w:jc w:val="center"/>
              <w:rPr>
                <w:rFonts w:ascii="Times New Roman" w:eastAsia="Times New Roman" w:hAnsi="Times New Roman" w:cs="Times New Roman"/>
                <w:bCs/>
                <w:color w:val="000000"/>
              </w:rPr>
            </w:pPr>
            <w:r w:rsidRPr="00E80631">
              <w:rPr>
                <w:rFonts w:ascii="Times New Roman" w:eastAsia="Times New Roman" w:hAnsi="Times New Roman" w:cs="Times New Roman"/>
                <w:bCs/>
                <w:color w:val="000000"/>
              </w:rPr>
              <w:t>201</w:t>
            </w:r>
            <w:r w:rsidR="00C5137B">
              <w:rPr>
                <w:rFonts w:ascii="Times New Roman" w:eastAsia="Times New Roman" w:hAnsi="Times New Roman" w:cs="Times New Roman"/>
                <w:bCs/>
                <w:color w:val="000000"/>
              </w:rPr>
              <w:t>6</w:t>
            </w:r>
            <w:r w:rsidRPr="00E80631">
              <w:rPr>
                <w:rFonts w:ascii="Times New Roman" w:eastAsia="Times New Roman" w:hAnsi="Times New Roman" w:cs="Times New Roman"/>
                <w:bCs/>
                <w:color w:val="000000"/>
              </w:rPr>
              <w:t>.gads</w:t>
            </w:r>
          </w:p>
        </w:tc>
        <w:tc>
          <w:tcPr>
            <w:tcW w:w="748" w:type="pct"/>
            <w:tcBorders>
              <w:top w:val="single" w:sz="6" w:space="0" w:color="auto"/>
              <w:left w:val="single" w:sz="6" w:space="0" w:color="auto"/>
              <w:bottom w:val="single" w:sz="6" w:space="0" w:color="auto"/>
              <w:right w:val="single" w:sz="6" w:space="0" w:color="auto"/>
            </w:tcBorders>
            <w:shd w:val="clear" w:color="auto" w:fill="E0E0E0"/>
            <w:vAlign w:val="center"/>
            <w:hideMark/>
          </w:tcPr>
          <w:p w:rsidR="00E80631" w:rsidRPr="00E80631" w:rsidRDefault="00E80631" w:rsidP="00C5137B">
            <w:pPr>
              <w:spacing w:after="0" w:line="240" w:lineRule="auto"/>
              <w:jc w:val="center"/>
              <w:rPr>
                <w:rFonts w:ascii="Times New Roman" w:eastAsia="Times New Roman" w:hAnsi="Times New Roman" w:cs="Times New Roman"/>
                <w:bCs/>
                <w:color w:val="000000"/>
              </w:rPr>
            </w:pPr>
            <w:r w:rsidRPr="00E80631">
              <w:rPr>
                <w:rFonts w:ascii="Times New Roman" w:eastAsia="Times New Roman" w:hAnsi="Times New Roman" w:cs="Times New Roman"/>
                <w:bCs/>
                <w:color w:val="000000"/>
              </w:rPr>
              <w:t>201</w:t>
            </w:r>
            <w:r w:rsidR="00C5137B">
              <w:rPr>
                <w:rFonts w:ascii="Times New Roman" w:eastAsia="Times New Roman" w:hAnsi="Times New Roman" w:cs="Times New Roman"/>
                <w:bCs/>
                <w:color w:val="000000"/>
              </w:rPr>
              <w:t>7</w:t>
            </w:r>
            <w:r w:rsidRPr="00E80631">
              <w:rPr>
                <w:rFonts w:ascii="Times New Roman" w:eastAsia="Times New Roman" w:hAnsi="Times New Roman" w:cs="Times New Roman"/>
                <w:bCs/>
                <w:color w:val="000000"/>
              </w:rPr>
              <w:t>.gads</w:t>
            </w:r>
          </w:p>
        </w:tc>
      </w:tr>
      <w:tr w:rsidR="00E80631" w:rsidRPr="00E80631" w:rsidTr="00E80631">
        <w:trPr>
          <w:trHeight w:val="105"/>
        </w:trPr>
        <w:tc>
          <w:tcPr>
            <w:tcW w:w="1213"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E80631" w:rsidRPr="0037020D" w:rsidRDefault="00AD7DC3" w:rsidP="00AD7DC3">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Izveidota nacionālā augstākās izglītības kvalitātes nodrošināšanas institūcija, kas reģistrēta EQAR</w:t>
            </w:r>
          </w:p>
        </w:tc>
        <w:tc>
          <w:tcPr>
            <w:tcW w:w="1679"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E80631" w:rsidRPr="0037020D" w:rsidRDefault="00AD7DC3" w:rsidP="0037020D">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Izveidota un uzturēta augstākās izglītības kvalitātes nodrošināšanas nacionālā institūcija</w:t>
            </w:r>
          </w:p>
        </w:tc>
        <w:tc>
          <w:tcPr>
            <w:tcW w:w="68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E80631" w:rsidRPr="0037020D" w:rsidRDefault="00E80631" w:rsidP="00AD7DC3">
            <w:pPr>
              <w:spacing w:after="0" w:line="240" w:lineRule="auto"/>
              <w:jc w:val="center"/>
              <w:rPr>
                <w:rFonts w:ascii="Times New Roman" w:hAnsi="Times New Roman" w:cs="Times New Roman"/>
                <w:sz w:val="24"/>
                <w:szCs w:val="24"/>
              </w:rPr>
            </w:pPr>
          </w:p>
        </w:tc>
        <w:tc>
          <w:tcPr>
            <w:tcW w:w="680"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E80631" w:rsidRPr="0037020D" w:rsidRDefault="00E80631" w:rsidP="00E80631">
            <w:pPr>
              <w:spacing w:after="0" w:line="240" w:lineRule="auto"/>
              <w:jc w:val="center"/>
              <w:rPr>
                <w:rFonts w:ascii="Times New Roman" w:hAnsi="Times New Roman" w:cs="Times New Roman"/>
                <w:sz w:val="24"/>
                <w:szCs w:val="24"/>
              </w:rPr>
            </w:pPr>
            <w:r w:rsidRPr="0037020D">
              <w:rPr>
                <w:rFonts w:ascii="Times New Roman" w:hAnsi="Times New Roman" w:cs="Times New Roman"/>
                <w:sz w:val="24"/>
                <w:szCs w:val="24"/>
              </w:rPr>
              <w:t>x</w:t>
            </w:r>
          </w:p>
        </w:tc>
        <w:tc>
          <w:tcPr>
            <w:tcW w:w="748" w:type="pct"/>
            <w:tcBorders>
              <w:top w:val="single" w:sz="6" w:space="0" w:color="auto"/>
              <w:left w:val="single" w:sz="6" w:space="0" w:color="auto"/>
              <w:bottom w:val="single" w:sz="6" w:space="0" w:color="auto"/>
              <w:right w:val="single" w:sz="6" w:space="0" w:color="auto"/>
            </w:tcBorders>
            <w:shd w:val="clear" w:color="auto" w:fill="FFFFFF" w:themeFill="background1"/>
            <w:hideMark/>
          </w:tcPr>
          <w:p w:rsidR="00E80631" w:rsidRPr="0037020D" w:rsidRDefault="00AD7DC3" w:rsidP="00E80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p w:rsidR="00E80631" w:rsidRPr="0037020D" w:rsidRDefault="00E80631" w:rsidP="00E80631">
            <w:pPr>
              <w:spacing w:after="0" w:line="240" w:lineRule="auto"/>
              <w:jc w:val="center"/>
              <w:rPr>
                <w:rFonts w:ascii="Times New Roman" w:hAnsi="Times New Roman" w:cs="Times New Roman"/>
                <w:sz w:val="24"/>
                <w:szCs w:val="24"/>
              </w:rPr>
            </w:pPr>
          </w:p>
        </w:tc>
      </w:tr>
    </w:tbl>
    <w:p w:rsidR="00A010F0" w:rsidRDefault="00A010F0" w:rsidP="00A010F0">
      <w:pPr>
        <w:pStyle w:val="BodyText"/>
        <w:spacing w:after="0"/>
        <w:ind w:left="720" w:hanging="11"/>
        <w:jc w:val="left"/>
        <w:rPr>
          <w:b w:val="0"/>
          <w:sz w:val="20"/>
          <w:szCs w:val="20"/>
        </w:rPr>
      </w:pPr>
    </w:p>
    <w:p w:rsidR="00A073DE" w:rsidRDefault="00A073DE" w:rsidP="00A010F0">
      <w:pPr>
        <w:pStyle w:val="BodyText"/>
        <w:spacing w:after="0"/>
        <w:ind w:left="720" w:hanging="11"/>
        <w:jc w:val="left"/>
        <w:rPr>
          <w:b w:val="0"/>
          <w:sz w:val="20"/>
          <w:szCs w:val="20"/>
        </w:rPr>
      </w:pPr>
    </w:p>
    <w:p w:rsidR="00A073DE" w:rsidRDefault="00A073DE" w:rsidP="00A010F0">
      <w:pPr>
        <w:pStyle w:val="BodyText"/>
        <w:spacing w:after="0"/>
        <w:ind w:left="720" w:hanging="11"/>
        <w:jc w:val="left"/>
        <w:rPr>
          <w:b w:val="0"/>
          <w:sz w:val="20"/>
          <w:szCs w:val="20"/>
        </w:rPr>
      </w:pPr>
    </w:p>
    <w:p w:rsidR="00A010F0" w:rsidRPr="00CF0A33" w:rsidRDefault="00254BDD" w:rsidP="00A010F0">
      <w:pPr>
        <w:pStyle w:val="BodyText"/>
        <w:spacing w:after="0"/>
        <w:ind w:left="720" w:hanging="11"/>
        <w:jc w:val="left"/>
        <w:rPr>
          <w:b w:val="0"/>
          <w:sz w:val="20"/>
          <w:szCs w:val="20"/>
        </w:rPr>
      </w:pPr>
      <w:r>
        <w:rPr>
          <w:b w:val="0"/>
          <w:sz w:val="20"/>
          <w:szCs w:val="20"/>
        </w:rPr>
        <w:t>07.10.2014.</w:t>
      </w:r>
    </w:p>
    <w:p w:rsidR="00A010F0" w:rsidRPr="00CF0A33" w:rsidRDefault="00254BDD" w:rsidP="00A010F0">
      <w:pPr>
        <w:pStyle w:val="BodyText"/>
        <w:spacing w:after="0"/>
        <w:ind w:left="720" w:hanging="11"/>
        <w:jc w:val="left"/>
        <w:rPr>
          <w:b w:val="0"/>
          <w:sz w:val="20"/>
          <w:szCs w:val="20"/>
        </w:rPr>
      </w:pPr>
      <w:r>
        <w:rPr>
          <w:b w:val="0"/>
          <w:sz w:val="20"/>
          <w:szCs w:val="20"/>
        </w:rPr>
        <w:t>12</w:t>
      </w:r>
      <w:r w:rsidR="00A073DE">
        <w:rPr>
          <w:b w:val="0"/>
          <w:sz w:val="20"/>
          <w:szCs w:val="20"/>
        </w:rPr>
        <w:t>78</w:t>
      </w:r>
    </w:p>
    <w:p w:rsidR="00CF0A33" w:rsidRDefault="00254BDD" w:rsidP="00CF0A33">
      <w:pPr>
        <w:pStyle w:val="BodyText"/>
        <w:spacing w:after="0"/>
        <w:ind w:left="720" w:hanging="11"/>
        <w:jc w:val="left"/>
        <w:rPr>
          <w:b w:val="0"/>
          <w:sz w:val="20"/>
          <w:szCs w:val="20"/>
        </w:rPr>
      </w:pPr>
      <w:r>
        <w:rPr>
          <w:b w:val="0"/>
          <w:sz w:val="20"/>
          <w:szCs w:val="20"/>
        </w:rPr>
        <w:t>I.Stūre, 67047899</w:t>
      </w:r>
    </w:p>
    <w:p w:rsidR="00254BDD" w:rsidRPr="00CF0A33" w:rsidRDefault="00254BDD" w:rsidP="00CF0A33">
      <w:pPr>
        <w:pStyle w:val="BodyText"/>
        <w:spacing w:after="0"/>
        <w:ind w:left="720" w:hanging="11"/>
        <w:jc w:val="left"/>
        <w:rPr>
          <w:b w:val="0"/>
          <w:sz w:val="20"/>
          <w:szCs w:val="20"/>
        </w:rPr>
      </w:pPr>
      <w:r>
        <w:rPr>
          <w:b w:val="0"/>
          <w:sz w:val="20"/>
          <w:szCs w:val="20"/>
        </w:rPr>
        <w:t>Inese.Sture@izm.gov.lv</w:t>
      </w:r>
    </w:p>
    <w:p w:rsidR="00327D73" w:rsidRDefault="00327D73" w:rsidP="00FE7212"/>
    <w:sectPr w:rsidR="00327D73" w:rsidSect="00080260">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D7" w:rsidRDefault="000067D7" w:rsidP="0049272D">
      <w:pPr>
        <w:spacing w:after="0" w:line="240" w:lineRule="auto"/>
      </w:pPr>
      <w:r>
        <w:separator/>
      </w:r>
    </w:p>
  </w:endnote>
  <w:endnote w:type="continuationSeparator" w:id="0">
    <w:p w:rsidR="000067D7" w:rsidRDefault="000067D7" w:rsidP="0049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5" w:rsidRDefault="00B93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79" w:rsidRPr="00B03E79" w:rsidRDefault="00B932F5" w:rsidP="00B03E79">
    <w:pPr>
      <w:spacing w:after="0"/>
      <w:rPr>
        <w:rFonts w:ascii="Times New Roman" w:eastAsiaTheme="majorEastAsia" w:hAnsi="Times New Roman" w:cs="Times New Roman"/>
        <w:bCs/>
        <w:kern w:val="1"/>
        <w:sz w:val="20"/>
        <w:szCs w:val="20"/>
        <w:lang w:eastAsia="hi-IN" w:bidi="hi-IN"/>
      </w:rPr>
    </w:pPr>
    <w:r>
      <w:rPr>
        <w:rFonts w:ascii="Times New Roman" w:eastAsiaTheme="majorEastAsia" w:hAnsi="Times New Roman" w:cs="Times New Roman"/>
        <w:bCs/>
        <w:kern w:val="1"/>
        <w:sz w:val="20"/>
        <w:szCs w:val="20"/>
        <w:lang w:eastAsia="hi-IN" w:bidi="hi-IN"/>
      </w:rPr>
      <w:t>IZMPiel2_</w:t>
    </w:r>
    <w:r w:rsidR="00910D88">
      <w:rPr>
        <w:rFonts w:ascii="Times New Roman" w:eastAsiaTheme="majorEastAsia" w:hAnsi="Times New Roman" w:cs="Times New Roman"/>
        <w:bCs/>
        <w:kern w:val="1"/>
        <w:sz w:val="20"/>
        <w:szCs w:val="20"/>
        <w:lang w:eastAsia="hi-IN" w:bidi="hi-IN"/>
      </w:rPr>
      <w:t>09</w:t>
    </w:r>
    <w:r w:rsidR="00B03E79" w:rsidRPr="00B03E79">
      <w:rPr>
        <w:rFonts w:ascii="Times New Roman" w:eastAsiaTheme="majorEastAsia" w:hAnsi="Times New Roman" w:cs="Times New Roman"/>
        <w:bCs/>
        <w:kern w:val="1"/>
        <w:sz w:val="20"/>
        <w:szCs w:val="20"/>
        <w:lang w:eastAsia="hi-IN" w:bidi="hi-IN"/>
      </w:rPr>
      <w:t>10</w:t>
    </w:r>
    <w:r>
      <w:rPr>
        <w:rFonts w:ascii="Times New Roman" w:eastAsiaTheme="majorEastAsia" w:hAnsi="Times New Roman" w:cs="Times New Roman"/>
        <w:bCs/>
        <w:kern w:val="1"/>
        <w:sz w:val="20"/>
        <w:szCs w:val="20"/>
        <w:lang w:eastAsia="hi-IN" w:bidi="hi-IN"/>
      </w:rPr>
      <w:t>14</w:t>
    </w:r>
    <w:r w:rsidR="00B03E79" w:rsidRPr="00B03E79">
      <w:rPr>
        <w:rFonts w:ascii="Times New Roman" w:eastAsiaTheme="majorEastAsia" w:hAnsi="Times New Roman" w:cs="Times New Roman"/>
        <w:bCs/>
        <w:kern w:val="1"/>
        <w:sz w:val="20"/>
        <w:szCs w:val="20"/>
        <w:lang w:eastAsia="hi-IN" w:bidi="hi-IN"/>
      </w:rPr>
      <w:t xml:space="preserve">_kvalagent; 2. pielikums </w:t>
    </w:r>
    <w:r w:rsidR="00B03E79" w:rsidRPr="00B03E79">
      <w:rPr>
        <w:rFonts w:ascii="Times New Roman" w:hAnsi="Times New Roman" w:cs="Times New Roman"/>
        <w:sz w:val="20"/>
        <w:szCs w:val="20"/>
      </w:rPr>
      <w:t>„Latvijas augstākās izglītības ārējās kvalitātes</w:t>
    </w:r>
    <w:proofErr w:type="gramStart"/>
    <w:r w:rsidR="00B03E79" w:rsidRPr="00B03E79">
      <w:rPr>
        <w:rFonts w:ascii="Times New Roman" w:hAnsi="Times New Roman" w:cs="Times New Roman"/>
        <w:sz w:val="20"/>
        <w:szCs w:val="20"/>
      </w:rPr>
      <w:t xml:space="preserve"> </w:t>
    </w:r>
    <w:r w:rsidR="00B03E79" w:rsidRPr="00B03E79">
      <w:rPr>
        <w:rFonts w:ascii="Times New Roman" w:eastAsiaTheme="majorEastAsia" w:hAnsi="Times New Roman" w:cs="Times New Roman"/>
        <w:bCs/>
        <w:kern w:val="1"/>
        <w:sz w:val="20"/>
        <w:szCs w:val="20"/>
        <w:lang w:eastAsia="hi-IN" w:bidi="hi-IN"/>
      </w:rPr>
      <w:t xml:space="preserve"> </w:t>
    </w:r>
    <w:proofErr w:type="gramEnd"/>
    <w:r w:rsidR="00B03E79" w:rsidRPr="00B03E79">
      <w:rPr>
        <w:rFonts w:ascii="Times New Roman" w:hAnsi="Times New Roman" w:cs="Times New Roman"/>
        <w:sz w:val="20"/>
        <w:szCs w:val="20"/>
      </w:rPr>
      <w:t xml:space="preserve">nodrošināšanas sistēmas pilnveide” </w:t>
    </w:r>
    <w:r w:rsidR="00B03E79" w:rsidRPr="00B03E79">
      <w:rPr>
        <w:rFonts w:ascii="Times New Roman" w:eastAsiaTheme="majorEastAsia" w:hAnsi="Times New Roman" w:cs="Times New Roman"/>
        <w:bCs/>
        <w:kern w:val="1"/>
        <w:sz w:val="20"/>
        <w:szCs w:val="20"/>
        <w:lang w:eastAsia="hi-IN" w:bidi="hi-IN"/>
      </w:rPr>
      <w:t xml:space="preserve">koncepcijai </w:t>
    </w:r>
  </w:p>
  <w:p w:rsidR="003D40FE" w:rsidRDefault="003D4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E79" w:rsidRPr="00B03E79" w:rsidRDefault="00B932F5" w:rsidP="00B03E79">
    <w:pPr>
      <w:spacing w:after="0"/>
      <w:rPr>
        <w:rFonts w:ascii="Times New Roman" w:eastAsiaTheme="majorEastAsia" w:hAnsi="Times New Roman" w:cs="Times New Roman"/>
        <w:bCs/>
        <w:kern w:val="1"/>
        <w:sz w:val="20"/>
        <w:szCs w:val="20"/>
        <w:lang w:eastAsia="hi-IN" w:bidi="hi-IN"/>
      </w:rPr>
    </w:pPr>
    <w:r>
      <w:rPr>
        <w:rFonts w:ascii="Times New Roman" w:eastAsiaTheme="majorEastAsia" w:hAnsi="Times New Roman" w:cs="Times New Roman"/>
        <w:bCs/>
        <w:kern w:val="1"/>
        <w:sz w:val="20"/>
        <w:szCs w:val="20"/>
        <w:lang w:eastAsia="hi-IN" w:bidi="hi-IN"/>
      </w:rPr>
      <w:t>IZMPiel2_</w:t>
    </w:r>
    <w:r w:rsidR="00910D88">
      <w:rPr>
        <w:rFonts w:ascii="Times New Roman" w:eastAsiaTheme="majorEastAsia" w:hAnsi="Times New Roman" w:cs="Times New Roman"/>
        <w:bCs/>
        <w:kern w:val="1"/>
        <w:sz w:val="20"/>
        <w:szCs w:val="20"/>
        <w:lang w:eastAsia="hi-IN" w:bidi="hi-IN"/>
      </w:rPr>
      <w:t>09</w:t>
    </w:r>
    <w:r w:rsidR="00B03E79" w:rsidRPr="00B03E79">
      <w:rPr>
        <w:rFonts w:ascii="Times New Roman" w:eastAsiaTheme="majorEastAsia" w:hAnsi="Times New Roman" w:cs="Times New Roman"/>
        <w:bCs/>
        <w:kern w:val="1"/>
        <w:sz w:val="20"/>
        <w:szCs w:val="20"/>
        <w:lang w:eastAsia="hi-IN" w:bidi="hi-IN"/>
      </w:rPr>
      <w:t>10</w:t>
    </w:r>
    <w:r>
      <w:rPr>
        <w:rFonts w:ascii="Times New Roman" w:eastAsiaTheme="majorEastAsia" w:hAnsi="Times New Roman" w:cs="Times New Roman"/>
        <w:bCs/>
        <w:kern w:val="1"/>
        <w:sz w:val="20"/>
        <w:szCs w:val="20"/>
        <w:lang w:eastAsia="hi-IN" w:bidi="hi-IN"/>
      </w:rPr>
      <w:t>14</w:t>
    </w:r>
    <w:r w:rsidR="00B03E79" w:rsidRPr="00B03E79">
      <w:rPr>
        <w:rFonts w:ascii="Times New Roman" w:eastAsiaTheme="majorEastAsia" w:hAnsi="Times New Roman" w:cs="Times New Roman"/>
        <w:bCs/>
        <w:kern w:val="1"/>
        <w:sz w:val="20"/>
        <w:szCs w:val="20"/>
        <w:lang w:eastAsia="hi-IN" w:bidi="hi-IN"/>
      </w:rPr>
      <w:t xml:space="preserve">_kvalagent; 2. pielikums </w:t>
    </w:r>
    <w:r w:rsidR="00B03E79" w:rsidRPr="00B03E79">
      <w:rPr>
        <w:rFonts w:ascii="Times New Roman" w:hAnsi="Times New Roman" w:cs="Times New Roman"/>
        <w:sz w:val="20"/>
        <w:szCs w:val="20"/>
      </w:rPr>
      <w:t>„Latvijas augstākās izglītības ārējās kvalitātes</w:t>
    </w:r>
    <w:proofErr w:type="gramStart"/>
    <w:r w:rsidR="00B03E79" w:rsidRPr="00B03E79">
      <w:rPr>
        <w:rFonts w:ascii="Times New Roman" w:hAnsi="Times New Roman" w:cs="Times New Roman"/>
        <w:sz w:val="20"/>
        <w:szCs w:val="20"/>
      </w:rPr>
      <w:t xml:space="preserve"> </w:t>
    </w:r>
    <w:r w:rsidR="00B03E79" w:rsidRPr="00B03E79">
      <w:rPr>
        <w:rFonts w:ascii="Times New Roman" w:eastAsiaTheme="majorEastAsia" w:hAnsi="Times New Roman" w:cs="Times New Roman"/>
        <w:bCs/>
        <w:kern w:val="1"/>
        <w:sz w:val="20"/>
        <w:szCs w:val="20"/>
        <w:lang w:eastAsia="hi-IN" w:bidi="hi-IN"/>
      </w:rPr>
      <w:t xml:space="preserve"> </w:t>
    </w:r>
    <w:proofErr w:type="gramEnd"/>
    <w:r w:rsidR="00B03E79" w:rsidRPr="00B03E79">
      <w:rPr>
        <w:rFonts w:ascii="Times New Roman" w:hAnsi="Times New Roman" w:cs="Times New Roman"/>
        <w:sz w:val="20"/>
        <w:szCs w:val="20"/>
      </w:rPr>
      <w:t xml:space="preserve">nodrošināšanas sistēmas pilnveide” </w:t>
    </w:r>
    <w:r w:rsidR="00B03E79" w:rsidRPr="00B03E79">
      <w:rPr>
        <w:rFonts w:ascii="Times New Roman" w:eastAsiaTheme="majorEastAsia" w:hAnsi="Times New Roman" w:cs="Times New Roman"/>
        <w:bCs/>
        <w:kern w:val="1"/>
        <w:sz w:val="20"/>
        <w:szCs w:val="20"/>
        <w:lang w:eastAsia="hi-IN" w:bidi="hi-IN"/>
      </w:rPr>
      <w:t xml:space="preserve">koncepcijai </w:t>
    </w:r>
  </w:p>
  <w:p w:rsidR="00B03E79" w:rsidRDefault="00B03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D7" w:rsidRDefault="000067D7" w:rsidP="0049272D">
      <w:pPr>
        <w:spacing w:after="0" w:line="240" w:lineRule="auto"/>
      </w:pPr>
      <w:r>
        <w:separator/>
      </w:r>
    </w:p>
  </w:footnote>
  <w:footnote w:type="continuationSeparator" w:id="0">
    <w:p w:rsidR="000067D7" w:rsidRDefault="000067D7" w:rsidP="0049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5" w:rsidRDefault="00B93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3032"/>
      <w:docPartObj>
        <w:docPartGallery w:val="Page Numbers (Top of Page)"/>
        <w:docPartUnique/>
      </w:docPartObj>
    </w:sdtPr>
    <w:sdtEndPr>
      <w:rPr>
        <w:rFonts w:ascii="Times New Roman" w:hAnsi="Times New Roman" w:cs="Times New Roman"/>
      </w:rPr>
    </w:sdtEndPr>
    <w:sdtContent>
      <w:p w:rsidR="0037020D" w:rsidRPr="0049272D" w:rsidRDefault="00665AE2">
        <w:pPr>
          <w:pStyle w:val="Header"/>
          <w:jc w:val="center"/>
          <w:rPr>
            <w:rFonts w:ascii="Times New Roman" w:hAnsi="Times New Roman" w:cs="Times New Roman"/>
          </w:rPr>
        </w:pPr>
        <w:r w:rsidRPr="0049272D">
          <w:rPr>
            <w:rFonts w:ascii="Times New Roman" w:hAnsi="Times New Roman" w:cs="Times New Roman"/>
          </w:rPr>
          <w:fldChar w:fldCharType="begin"/>
        </w:r>
        <w:r w:rsidR="0037020D" w:rsidRPr="0049272D">
          <w:rPr>
            <w:rFonts w:ascii="Times New Roman" w:hAnsi="Times New Roman" w:cs="Times New Roman"/>
          </w:rPr>
          <w:instrText xml:space="preserve"> PAGE   \* MERGEFORMAT </w:instrText>
        </w:r>
        <w:r w:rsidRPr="0049272D">
          <w:rPr>
            <w:rFonts w:ascii="Times New Roman" w:hAnsi="Times New Roman" w:cs="Times New Roman"/>
          </w:rPr>
          <w:fldChar w:fldCharType="separate"/>
        </w:r>
        <w:r w:rsidR="00787801">
          <w:rPr>
            <w:rFonts w:ascii="Times New Roman" w:hAnsi="Times New Roman" w:cs="Times New Roman"/>
            <w:noProof/>
          </w:rPr>
          <w:t>6</w:t>
        </w:r>
        <w:r w:rsidRPr="0049272D">
          <w:rPr>
            <w:rFonts w:ascii="Times New Roman" w:hAnsi="Times New Roman" w:cs="Times New Roman"/>
          </w:rPr>
          <w:fldChar w:fldCharType="end"/>
        </w:r>
      </w:p>
    </w:sdtContent>
  </w:sdt>
  <w:p w:rsidR="0037020D" w:rsidRDefault="00370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F5" w:rsidRDefault="00B93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DD4"/>
    <w:multiLevelType w:val="hybridMultilevel"/>
    <w:tmpl w:val="86C6D00A"/>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nsid w:val="14430FF3"/>
    <w:multiLevelType w:val="hybridMultilevel"/>
    <w:tmpl w:val="2564F9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5C705E3"/>
    <w:multiLevelType w:val="hybridMultilevel"/>
    <w:tmpl w:val="03D8F6F6"/>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360" w:hanging="360"/>
      </w:pPr>
      <w:rPr>
        <w:rFonts w:ascii="Symbol" w:hAnsi="Symbol" w:hint="default"/>
      </w:rPr>
    </w:lvl>
    <w:lvl w:ilvl="4" w:tplc="04260003" w:tentative="1">
      <w:start w:val="1"/>
      <w:numFmt w:val="bullet"/>
      <w:lvlText w:val="o"/>
      <w:lvlJc w:val="left"/>
      <w:pPr>
        <w:ind w:left="1080" w:hanging="360"/>
      </w:pPr>
      <w:rPr>
        <w:rFonts w:ascii="Courier New" w:hAnsi="Courier New" w:cs="Courier New" w:hint="default"/>
      </w:rPr>
    </w:lvl>
    <w:lvl w:ilvl="5" w:tplc="04260005" w:tentative="1">
      <w:start w:val="1"/>
      <w:numFmt w:val="bullet"/>
      <w:lvlText w:val=""/>
      <w:lvlJc w:val="left"/>
      <w:pPr>
        <w:ind w:left="1800" w:hanging="360"/>
      </w:pPr>
      <w:rPr>
        <w:rFonts w:ascii="Wingdings" w:hAnsi="Wingdings" w:hint="default"/>
      </w:rPr>
    </w:lvl>
    <w:lvl w:ilvl="6" w:tplc="04260001" w:tentative="1">
      <w:start w:val="1"/>
      <w:numFmt w:val="bullet"/>
      <w:lvlText w:val=""/>
      <w:lvlJc w:val="left"/>
      <w:pPr>
        <w:ind w:left="2520" w:hanging="360"/>
      </w:pPr>
      <w:rPr>
        <w:rFonts w:ascii="Symbol" w:hAnsi="Symbol" w:hint="default"/>
      </w:rPr>
    </w:lvl>
    <w:lvl w:ilvl="7" w:tplc="04260003" w:tentative="1">
      <w:start w:val="1"/>
      <w:numFmt w:val="bullet"/>
      <w:lvlText w:val="o"/>
      <w:lvlJc w:val="left"/>
      <w:pPr>
        <w:ind w:left="3240" w:hanging="360"/>
      </w:pPr>
      <w:rPr>
        <w:rFonts w:ascii="Courier New" w:hAnsi="Courier New" w:cs="Courier New" w:hint="default"/>
      </w:rPr>
    </w:lvl>
    <w:lvl w:ilvl="8" w:tplc="04260005" w:tentative="1">
      <w:start w:val="1"/>
      <w:numFmt w:val="bullet"/>
      <w:lvlText w:val=""/>
      <w:lvlJc w:val="left"/>
      <w:pPr>
        <w:ind w:left="3960" w:hanging="360"/>
      </w:pPr>
      <w:rPr>
        <w:rFonts w:ascii="Wingdings" w:hAnsi="Wingdings" w:hint="default"/>
      </w:rPr>
    </w:lvl>
  </w:abstractNum>
  <w:abstractNum w:abstractNumId="3">
    <w:nsid w:val="477770D8"/>
    <w:multiLevelType w:val="hybridMultilevel"/>
    <w:tmpl w:val="B63CD12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539B25A9"/>
    <w:multiLevelType w:val="hybridMultilevel"/>
    <w:tmpl w:val="DDB86F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2D"/>
    <w:rsid w:val="000067D7"/>
    <w:rsid w:val="00024E57"/>
    <w:rsid w:val="00051B5B"/>
    <w:rsid w:val="00080260"/>
    <w:rsid w:val="000A56A4"/>
    <w:rsid w:val="000E4078"/>
    <w:rsid w:val="0010719E"/>
    <w:rsid w:val="00121E4D"/>
    <w:rsid w:val="00136980"/>
    <w:rsid w:val="001675DB"/>
    <w:rsid w:val="00197186"/>
    <w:rsid w:val="001E2966"/>
    <w:rsid w:val="001E5739"/>
    <w:rsid w:val="001F7CC1"/>
    <w:rsid w:val="002169A5"/>
    <w:rsid w:val="002200B8"/>
    <w:rsid w:val="00221125"/>
    <w:rsid w:val="00250876"/>
    <w:rsid w:val="00254BDD"/>
    <w:rsid w:val="002606F2"/>
    <w:rsid w:val="00281879"/>
    <w:rsid w:val="002B172A"/>
    <w:rsid w:val="002C2006"/>
    <w:rsid w:val="00327D73"/>
    <w:rsid w:val="00330593"/>
    <w:rsid w:val="00357FBE"/>
    <w:rsid w:val="00364E12"/>
    <w:rsid w:val="0037020D"/>
    <w:rsid w:val="00394DBC"/>
    <w:rsid w:val="003B615E"/>
    <w:rsid w:val="003C7F15"/>
    <w:rsid w:val="003D40FE"/>
    <w:rsid w:val="00405AEA"/>
    <w:rsid w:val="00413936"/>
    <w:rsid w:val="00427CE0"/>
    <w:rsid w:val="00445F7C"/>
    <w:rsid w:val="00453FDD"/>
    <w:rsid w:val="0048173B"/>
    <w:rsid w:val="0049272D"/>
    <w:rsid w:val="004C1AA0"/>
    <w:rsid w:val="004C3742"/>
    <w:rsid w:val="00507265"/>
    <w:rsid w:val="0052002E"/>
    <w:rsid w:val="00522603"/>
    <w:rsid w:val="00561D1B"/>
    <w:rsid w:val="005712BA"/>
    <w:rsid w:val="00583AA1"/>
    <w:rsid w:val="005964B7"/>
    <w:rsid w:val="005A4BFB"/>
    <w:rsid w:val="005B3D4D"/>
    <w:rsid w:val="005F7FB4"/>
    <w:rsid w:val="00611F0F"/>
    <w:rsid w:val="00665AE2"/>
    <w:rsid w:val="00671EBA"/>
    <w:rsid w:val="00674411"/>
    <w:rsid w:val="0069014C"/>
    <w:rsid w:val="006D18B0"/>
    <w:rsid w:val="007442FA"/>
    <w:rsid w:val="0076358E"/>
    <w:rsid w:val="00763AA2"/>
    <w:rsid w:val="007806DD"/>
    <w:rsid w:val="00787801"/>
    <w:rsid w:val="00790B38"/>
    <w:rsid w:val="007B33D0"/>
    <w:rsid w:val="00866025"/>
    <w:rsid w:val="00873A5F"/>
    <w:rsid w:val="00885BD1"/>
    <w:rsid w:val="0089327C"/>
    <w:rsid w:val="008C313F"/>
    <w:rsid w:val="008D7E31"/>
    <w:rsid w:val="00901660"/>
    <w:rsid w:val="00910D88"/>
    <w:rsid w:val="0098487C"/>
    <w:rsid w:val="009D1549"/>
    <w:rsid w:val="00A010F0"/>
    <w:rsid w:val="00A073DE"/>
    <w:rsid w:val="00A10FC9"/>
    <w:rsid w:val="00A33014"/>
    <w:rsid w:val="00A658D1"/>
    <w:rsid w:val="00A71426"/>
    <w:rsid w:val="00A945C1"/>
    <w:rsid w:val="00AD4346"/>
    <w:rsid w:val="00AD74EA"/>
    <w:rsid w:val="00AD7DC3"/>
    <w:rsid w:val="00AE29F7"/>
    <w:rsid w:val="00AE7676"/>
    <w:rsid w:val="00B03E79"/>
    <w:rsid w:val="00B05E15"/>
    <w:rsid w:val="00B102B7"/>
    <w:rsid w:val="00B7583E"/>
    <w:rsid w:val="00B932F5"/>
    <w:rsid w:val="00BE2F0B"/>
    <w:rsid w:val="00C1780F"/>
    <w:rsid w:val="00C5137B"/>
    <w:rsid w:val="00C52392"/>
    <w:rsid w:val="00C97850"/>
    <w:rsid w:val="00CA3CFD"/>
    <w:rsid w:val="00CF0A33"/>
    <w:rsid w:val="00D014E2"/>
    <w:rsid w:val="00D12D47"/>
    <w:rsid w:val="00D16EA6"/>
    <w:rsid w:val="00DA5A8B"/>
    <w:rsid w:val="00DC6C86"/>
    <w:rsid w:val="00DF4F51"/>
    <w:rsid w:val="00DF6FD0"/>
    <w:rsid w:val="00E34BCE"/>
    <w:rsid w:val="00E80631"/>
    <w:rsid w:val="00EB68D3"/>
    <w:rsid w:val="00ED4891"/>
    <w:rsid w:val="00EE6455"/>
    <w:rsid w:val="00F158E1"/>
    <w:rsid w:val="00F165E5"/>
    <w:rsid w:val="00F20450"/>
    <w:rsid w:val="00F61A09"/>
    <w:rsid w:val="00F638F7"/>
    <w:rsid w:val="00F65D80"/>
    <w:rsid w:val="00F75B51"/>
    <w:rsid w:val="00F84EAD"/>
    <w:rsid w:val="00FE7212"/>
    <w:rsid w:val="00FF33B8"/>
    <w:rsid w:val="00FF4F13"/>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7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272D"/>
    <w:rPr>
      <w:lang w:val="lv-LV"/>
    </w:rPr>
  </w:style>
  <w:style w:type="paragraph" w:styleId="Footer">
    <w:name w:val="footer"/>
    <w:basedOn w:val="Normal"/>
    <w:link w:val="FooterChar"/>
    <w:uiPriority w:val="99"/>
    <w:unhideWhenUsed/>
    <w:rsid w:val="00492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72D"/>
    <w:rPr>
      <w:lang w:val="lv-LV"/>
    </w:rPr>
  </w:style>
  <w:style w:type="paragraph" w:styleId="BalloonText">
    <w:name w:val="Balloon Text"/>
    <w:basedOn w:val="Normal"/>
    <w:link w:val="BalloonTextChar"/>
    <w:uiPriority w:val="99"/>
    <w:semiHidden/>
    <w:unhideWhenUsed/>
    <w:rsid w:val="00F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12"/>
    <w:rPr>
      <w:rFonts w:ascii="Tahoma" w:hAnsi="Tahoma" w:cs="Tahoma"/>
      <w:sz w:val="16"/>
      <w:szCs w:val="16"/>
      <w:lang w:val="lv-LV"/>
    </w:rPr>
  </w:style>
  <w:style w:type="paragraph" w:styleId="BodyText">
    <w:name w:val="Body Text"/>
    <w:basedOn w:val="Normal"/>
    <w:link w:val="BodyTextChar"/>
    <w:rsid w:val="00A010F0"/>
    <w:pPr>
      <w:spacing w:after="12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rsid w:val="00A010F0"/>
    <w:rPr>
      <w:rFonts w:ascii="Times New Roman" w:eastAsia="Times New Roman" w:hAnsi="Times New Roman" w:cs="Times New Roman"/>
      <w:b/>
      <w:sz w:val="32"/>
      <w:szCs w:val="24"/>
    </w:rPr>
  </w:style>
  <w:style w:type="paragraph" w:customStyle="1" w:styleId="Default">
    <w:name w:val="Default"/>
    <w:rsid w:val="00A01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ula">
    <w:name w:val="tabula"/>
    <w:basedOn w:val="Normal"/>
    <w:rsid w:val="00A010F0"/>
    <w:pPr>
      <w:tabs>
        <w:tab w:val="left" w:pos="5954"/>
      </w:tabs>
      <w:autoSpaceDN w:val="0"/>
      <w:spacing w:after="0" w:line="240"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6358E"/>
    <w:pPr>
      <w:ind w:left="720"/>
      <w:contextualSpacing/>
    </w:pPr>
  </w:style>
  <w:style w:type="character" w:styleId="Hyperlink">
    <w:name w:val="Hyperlink"/>
    <w:basedOn w:val="DefaultParagraphFont"/>
    <w:uiPriority w:val="99"/>
    <w:unhideWhenUsed/>
    <w:rsid w:val="00AD74EA"/>
    <w:rPr>
      <w:color w:val="0000FF" w:themeColor="hyperlink"/>
      <w:u w:val="single"/>
    </w:rPr>
  </w:style>
  <w:style w:type="character" w:customStyle="1" w:styleId="ListParagraphChar">
    <w:name w:val="List Paragraph Char"/>
    <w:link w:val="ListParagraph"/>
    <w:uiPriority w:val="34"/>
    <w:locked/>
    <w:rsid w:val="00AD7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7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272D"/>
    <w:rPr>
      <w:lang w:val="lv-LV"/>
    </w:rPr>
  </w:style>
  <w:style w:type="paragraph" w:styleId="Footer">
    <w:name w:val="footer"/>
    <w:basedOn w:val="Normal"/>
    <w:link w:val="FooterChar"/>
    <w:uiPriority w:val="99"/>
    <w:unhideWhenUsed/>
    <w:rsid w:val="00492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272D"/>
    <w:rPr>
      <w:lang w:val="lv-LV"/>
    </w:rPr>
  </w:style>
  <w:style w:type="paragraph" w:styleId="BalloonText">
    <w:name w:val="Balloon Text"/>
    <w:basedOn w:val="Normal"/>
    <w:link w:val="BalloonTextChar"/>
    <w:uiPriority w:val="99"/>
    <w:semiHidden/>
    <w:unhideWhenUsed/>
    <w:rsid w:val="00F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12"/>
    <w:rPr>
      <w:rFonts w:ascii="Tahoma" w:hAnsi="Tahoma" w:cs="Tahoma"/>
      <w:sz w:val="16"/>
      <w:szCs w:val="16"/>
      <w:lang w:val="lv-LV"/>
    </w:rPr>
  </w:style>
  <w:style w:type="paragraph" w:styleId="BodyText">
    <w:name w:val="Body Text"/>
    <w:basedOn w:val="Normal"/>
    <w:link w:val="BodyTextChar"/>
    <w:rsid w:val="00A010F0"/>
    <w:pPr>
      <w:spacing w:after="120" w:line="240" w:lineRule="auto"/>
      <w:jc w:val="center"/>
    </w:pPr>
    <w:rPr>
      <w:rFonts w:ascii="Times New Roman" w:eastAsia="Times New Roman" w:hAnsi="Times New Roman" w:cs="Times New Roman"/>
      <w:b/>
      <w:sz w:val="32"/>
      <w:szCs w:val="24"/>
    </w:rPr>
  </w:style>
  <w:style w:type="character" w:customStyle="1" w:styleId="BodyTextChar">
    <w:name w:val="Body Text Char"/>
    <w:basedOn w:val="DefaultParagraphFont"/>
    <w:link w:val="BodyText"/>
    <w:rsid w:val="00A010F0"/>
    <w:rPr>
      <w:rFonts w:ascii="Times New Roman" w:eastAsia="Times New Roman" w:hAnsi="Times New Roman" w:cs="Times New Roman"/>
      <w:b/>
      <w:sz w:val="32"/>
      <w:szCs w:val="24"/>
    </w:rPr>
  </w:style>
  <w:style w:type="paragraph" w:customStyle="1" w:styleId="Default">
    <w:name w:val="Default"/>
    <w:rsid w:val="00A010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ula">
    <w:name w:val="tabula"/>
    <w:basedOn w:val="Normal"/>
    <w:rsid w:val="00A010F0"/>
    <w:pPr>
      <w:tabs>
        <w:tab w:val="left" w:pos="5954"/>
      </w:tabs>
      <w:autoSpaceDN w:val="0"/>
      <w:spacing w:after="0" w:line="240"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6358E"/>
    <w:pPr>
      <w:ind w:left="720"/>
      <w:contextualSpacing/>
    </w:pPr>
  </w:style>
  <w:style w:type="character" w:styleId="Hyperlink">
    <w:name w:val="Hyperlink"/>
    <w:basedOn w:val="DefaultParagraphFont"/>
    <w:uiPriority w:val="99"/>
    <w:unhideWhenUsed/>
    <w:rsid w:val="00AD74EA"/>
    <w:rPr>
      <w:color w:val="0000FF" w:themeColor="hyperlink"/>
      <w:u w:val="single"/>
    </w:rPr>
  </w:style>
  <w:style w:type="character" w:customStyle="1" w:styleId="ListParagraphChar">
    <w:name w:val="List Paragraph Char"/>
    <w:link w:val="ListParagraph"/>
    <w:uiPriority w:val="34"/>
    <w:locked/>
    <w:rsid w:val="00AD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5579">
      <w:bodyDiv w:val="1"/>
      <w:marLeft w:val="0"/>
      <w:marRight w:val="0"/>
      <w:marTop w:val="0"/>
      <w:marBottom w:val="0"/>
      <w:divBdr>
        <w:top w:val="none" w:sz="0" w:space="0" w:color="auto"/>
        <w:left w:val="none" w:sz="0" w:space="0" w:color="auto"/>
        <w:bottom w:val="none" w:sz="0" w:space="0" w:color="auto"/>
        <w:right w:val="none" w:sz="0" w:space="0" w:color="auto"/>
      </w:divBdr>
      <w:divsChild>
        <w:div w:id="1157919540">
          <w:marLeft w:val="0"/>
          <w:marRight w:val="0"/>
          <w:marTop w:val="0"/>
          <w:marBottom w:val="0"/>
          <w:divBdr>
            <w:top w:val="none" w:sz="0" w:space="0" w:color="auto"/>
            <w:left w:val="none" w:sz="0" w:space="0" w:color="auto"/>
            <w:bottom w:val="none" w:sz="0" w:space="0" w:color="auto"/>
            <w:right w:val="none" w:sz="0" w:space="0" w:color="auto"/>
          </w:divBdr>
          <w:divsChild>
            <w:div w:id="289215574">
              <w:marLeft w:val="0"/>
              <w:marRight w:val="0"/>
              <w:marTop w:val="0"/>
              <w:marBottom w:val="0"/>
              <w:divBdr>
                <w:top w:val="none" w:sz="0" w:space="0" w:color="auto"/>
                <w:left w:val="none" w:sz="0" w:space="0" w:color="auto"/>
                <w:bottom w:val="none" w:sz="0" w:space="0" w:color="auto"/>
                <w:right w:val="none" w:sz="0" w:space="0" w:color="auto"/>
              </w:divBdr>
              <w:divsChild>
                <w:div w:id="2042128538">
                  <w:marLeft w:val="0"/>
                  <w:marRight w:val="0"/>
                  <w:marTop w:val="0"/>
                  <w:marBottom w:val="0"/>
                  <w:divBdr>
                    <w:top w:val="none" w:sz="0" w:space="0" w:color="auto"/>
                    <w:left w:val="none" w:sz="0" w:space="0" w:color="auto"/>
                    <w:bottom w:val="none" w:sz="0" w:space="0" w:color="auto"/>
                    <w:right w:val="none" w:sz="0" w:space="0" w:color="auto"/>
                  </w:divBdr>
                  <w:divsChild>
                    <w:div w:id="2141418260">
                      <w:marLeft w:val="0"/>
                      <w:marRight w:val="0"/>
                      <w:marTop w:val="0"/>
                      <w:marBottom w:val="0"/>
                      <w:divBdr>
                        <w:top w:val="none" w:sz="0" w:space="0" w:color="auto"/>
                        <w:left w:val="none" w:sz="0" w:space="0" w:color="auto"/>
                        <w:bottom w:val="none" w:sz="0" w:space="0" w:color="auto"/>
                        <w:right w:val="none" w:sz="0" w:space="0" w:color="auto"/>
                      </w:divBdr>
                      <w:divsChild>
                        <w:div w:id="330253794">
                          <w:marLeft w:val="0"/>
                          <w:marRight w:val="0"/>
                          <w:marTop w:val="300"/>
                          <w:marBottom w:val="0"/>
                          <w:divBdr>
                            <w:top w:val="none" w:sz="0" w:space="0" w:color="auto"/>
                            <w:left w:val="none" w:sz="0" w:space="0" w:color="auto"/>
                            <w:bottom w:val="none" w:sz="0" w:space="0" w:color="auto"/>
                            <w:right w:val="none" w:sz="0" w:space="0" w:color="auto"/>
                          </w:divBdr>
                          <w:divsChild>
                            <w:div w:id="1702668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51326">
      <w:bodyDiv w:val="1"/>
      <w:marLeft w:val="0"/>
      <w:marRight w:val="0"/>
      <w:marTop w:val="0"/>
      <w:marBottom w:val="0"/>
      <w:divBdr>
        <w:top w:val="none" w:sz="0" w:space="0" w:color="auto"/>
        <w:left w:val="none" w:sz="0" w:space="0" w:color="auto"/>
        <w:bottom w:val="none" w:sz="0" w:space="0" w:color="auto"/>
        <w:right w:val="none" w:sz="0" w:space="0" w:color="auto"/>
      </w:divBdr>
      <w:divsChild>
        <w:div w:id="864563160">
          <w:marLeft w:val="0"/>
          <w:marRight w:val="0"/>
          <w:marTop w:val="0"/>
          <w:marBottom w:val="0"/>
          <w:divBdr>
            <w:top w:val="none" w:sz="0" w:space="0" w:color="auto"/>
            <w:left w:val="none" w:sz="0" w:space="0" w:color="auto"/>
            <w:bottom w:val="none" w:sz="0" w:space="0" w:color="auto"/>
            <w:right w:val="none" w:sz="0" w:space="0" w:color="auto"/>
          </w:divBdr>
          <w:divsChild>
            <w:div w:id="1429814774">
              <w:marLeft w:val="0"/>
              <w:marRight w:val="0"/>
              <w:marTop w:val="0"/>
              <w:marBottom w:val="0"/>
              <w:divBdr>
                <w:top w:val="none" w:sz="0" w:space="0" w:color="auto"/>
                <w:left w:val="none" w:sz="0" w:space="0" w:color="auto"/>
                <w:bottom w:val="none" w:sz="0" w:space="0" w:color="auto"/>
                <w:right w:val="none" w:sz="0" w:space="0" w:color="auto"/>
              </w:divBdr>
              <w:divsChild>
                <w:div w:id="410204770">
                  <w:marLeft w:val="0"/>
                  <w:marRight w:val="0"/>
                  <w:marTop w:val="0"/>
                  <w:marBottom w:val="0"/>
                  <w:divBdr>
                    <w:top w:val="none" w:sz="0" w:space="0" w:color="auto"/>
                    <w:left w:val="none" w:sz="0" w:space="0" w:color="auto"/>
                    <w:bottom w:val="none" w:sz="0" w:space="0" w:color="auto"/>
                    <w:right w:val="none" w:sz="0" w:space="0" w:color="auto"/>
                  </w:divBdr>
                  <w:divsChild>
                    <w:div w:id="1715077921">
                      <w:marLeft w:val="0"/>
                      <w:marRight w:val="0"/>
                      <w:marTop w:val="0"/>
                      <w:marBottom w:val="0"/>
                      <w:divBdr>
                        <w:top w:val="none" w:sz="0" w:space="0" w:color="auto"/>
                        <w:left w:val="none" w:sz="0" w:space="0" w:color="auto"/>
                        <w:bottom w:val="none" w:sz="0" w:space="0" w:color="auto"/>
                        <w:right w:val="none" w:sz="0" w:space="0" w:color="auto"/>
                      </w:divBdr>
                      <w:divsChild>
                        <w:div w:id="1023825285">
                          <w:marLeft w:val="0"/>
                          <w:marRight w:val="0"/>
                          <w:marTop w:val="300"/>
                          <w:marBottom w:val="0"/>
                          <w:divBdr>
                            <w:top w:val="none" w:sz="0" w:space="0" w:color="auto"/>
                            <w:left w:val="none" w:sz="0" w:space="0" w:color="auto"/>
                            <w:bottom w:val="none" w:sz="0" w:space="0" w:color="auto"/>
                            <w:right w:val="none" w:sz="0" w:space="0" w:color="auto"/>
                          </w:divBdr>
                          <w:divsChild>
                            <w:div w:id="15129148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ni.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A723B-6314-4340-9599-9FC4B693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6368</Words>
  <Characters>3630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Koncepcija Latvijas augstākās izglītības ārējās kvalitātes nodrošināšanas sistēmas pilnveide</vt:lpstr>
    </vt:vector>
  </TitlesOfParts>
  <Manager>Latvijas Ģeotelpiskās informācijas aģentūra</Manager>
  <Company>Aizsardzības ministrija</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 Latvijas augstākās izglītības ārējās kvalitātes nodrošināšanas sistēmas pilnveide</dc:title>
  <dc:subject>"2. pielikums</dc:subject>
  <dc:creator>Inese Stūre</dc:creator>
  <dc:description>I.Stūre, Inese.Sture@izm.gov.lv</dc:description>
  <cp:lastModifiedBy>Laimdota Adlere</cp:lastModifiedBy>
  <cp:revision>10</cp:revision>
  <cp:lastPrinted>2013-06-12T08:00:00Z</cp:lastPrinted>
  <dcterms:created xsi:type="dcterms:W3CDTF">2014-10-10T07:54:00Z</dcterms:created>
  <dcterms:modified xsi:type="dcterms:W3CDTF">2014-10-10T08:00:00Z</dcterms:modified>
</cp:coreProperties>
</file>